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1.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2.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3.xml" ContentType="application/vnd.openxmlformats-officedocument.themeOverrid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A4D93A" w14:textId="77777777" w:rsidR="00E43F48" w:rsidRDefault="00E43F48"/>
    <w:p w14:paraId="172E799D" w14:textId="77777777" w:rsidR="0028280C" w:rsidRDefault="0028280C"/>
    <w:p w14:paraId="6CFC32F5" w14:textId="77777777" w:rsidR="0028280C" w:rsidRDefault="0028280C"/>
    <w:p w14:paraId="223BC051" w14:textId="77777777" w:rsidR="0028280C" w:rsidRPr="00AE2892" w:rsidRDefault="0028280C" w:rsidP="0028280C">
      <w:pPr>
        <w:pBdr>
          <w:top w:val="single" w:sz="4" w:space="1" w:color="auto"/>
          <w:left w:val="single" w:sz="4" w:space="4" w:color="auto"/>
          <w:bottom w:val="single" w:sz="4" w:space="1" w:color="auto"/>
          <w:right w:val="single" w:sz="4" w:space="4" w:color="auto"/>
        </w:pBdr>
        <w:jc w:val="center"/>
        <w:rPr>
          <w:rFonts w:ascii="Bernard MT Condensed" w:hAnsi="Bernard MT Condensed" w:cs="Times New Roman"/>
          <w:b/>
          <w:sz w:val="40"/>
          <w:szCs w:val="40"/>
        </w:rPr>
      </w:pPr>
      <w:r w:rsidRPr="00AE2892">
        <w:rPr>
          <w:rFonts w:ascii="Bernard MT Condensed" w:hAnsi="Bernard MT Condensed" w:cs="Times New Roman"/>
          <w:b/>
          <w:sz w:val="40"/>
          <w:szCs w:val="40"/>
        </w:rPr>
        <w:t>Analyse commune de pays (CCA) du Système des Nations Unies au Niger</w:t>
      </w:r>
    </w:p>
    <w:p w14:paraId="694D98B3" w14:textId="2C674DE2" w:rsidR="0028280C" w:rsidRDefault="0028280C" w:rsidP="0028280C">
      <w:pPr>
        <w:jc w:val="center"/>
        <w:rPr>
          <w:rFonts w:ascii="Times New Roman" w:hAnsi="Times New Roman" w:cs="Times New Roman"/>
          <w:b/>
          <w:i/>
          <w:sz w:val="32"/>
          <w:szCs w:val="32"/>
        </w:rPr>
      </w:pPr>
      <w:r>
        <w:rPr>
          <w:rFonts w:ascii="Times New Roman" w:hAnsi="Times New Roman" w:cs="Times New Roman"/>
          <w:b/>
          <w:i/>
          <w:sz w:val="32"/>
          <w:szCs w:val="32"/>
        </w:rPr>
        <w:t xml:space="preserve">Quatrième </w:t>
      </w:r>
      <w:r w:rsidR="00DA2244">
        <w:rPr>
          <w:rFonts w:ascii="Times New Roman" w:hAnsi="Times New Roman" w:cs="Times New Roman"/>
          <w:b/>
          <w:i/>
          <w:sz w:val="32"/>
          <w:szCs w:val="32"/>
        </w:rPr>
        <w:t>et Dernière V</w:t>
      </w:r>
      <w:r w:rsidRPr="00D907F4">
        <w:rPr>
          <w:rFonts w:ascii="Times New Roman" w:hAnsi="Times New Roman" w:cs="Times New Roman"/>
          <w:b/>
          <w:i/>
          <w:sz w:val="32"/>
          <w:szCs w:val="32"/>
        </w:rPr>
        <w:t>ersion</w:t>
      </w:r>
    </w:p>
    <w:p w14:paraId="44FA47C1" w14:textId="77777777" w:rsidR="00DA2244" w:rsidRDefault="00DA2244" w:rsidP="0028280C">
      <w:pPr>
        <w:jc w:val="center"/>
        <w:rPr>
          <w:rFonts w:ascii="Times New Roman" w:hAnsi="Times New Roman" w:cs="Times New Roman"/>
          <w:b/>
          <w:i/>
          <w:sz w:val="32"/>
          <w:szCs w:val="32"/>
        </w:rPr>
      </w:pPr>
      <w:r>
        <w:rPr>
          <w:rFonts w:ascii="Times New Roman" w:hAnsi="Times New Roman" w:cs="Times New Roman"/>
          <w:b/>
          <w:i/>
          <w:sz w:val="32"/>
          <w:szCs w:val="32"/>
        </w:rPr>
        <w:t>-Validé au niveau technique</w:t>
      </w:r>
    </w:p>
    <w:p w14:paraId="1223AE2C" w14:textId="23D4EF45" w:rsidR="00DA2244" w:rsidRPr="00D907F4" w:rsidRDefault="00DA2244" w:rsidP="0028280C">
      <w:pPr>
        <w:jc w:val="center"/>
        <w:rPr>
          <w:rFonts w:ascii="Times New Roman" w:hAnsi="Times New Roman" w:cs="Times New Roman"/>
          <w:b/>
          <w:i/>
          <w:sz w:val="32"/>
          <w:szCs w:val="32"/>
        </w:rPr>
      </w:pPr>
      <w:r>
        <w:rPr>
          <w:rFonts w:ascii="Times New Roman" w:hAnsi="Times New Roman" w:cs="Times New Roman"/>
          <w:b/>
          <w:i/>
          <w:sz w:val="32"/>
          <w:szCs w:val="32"/>
        </w:rPr>
        <w:t>-Commentaires du siège intégrés</w:t>
      </w:r>
    </w:p>
    <w:p w14:paraId="60E7EA7C" w14:textId="77777777" w:rsidR="0028280C" w:rsidRDefault="0028280C" w:rsidP="0028280C">
      <w:pPr>
        <w:rPr>
          <w:rFonts w:ascii="Times New Roman" w:hAnsi="Times New Roman" w:cs="Times New Roman"/>
          <w:b/>
          <w:sz w:val="28"/>
          <w:szCs w:val="28"/>
        </w:rPr>
      </w:pPr>
    </w:p>
    <w:p w14:paraId="3C1B809F" w14:textId="77777777" w:rsidR="0028280C" w:rsidRDefault="0028280C"/>
    <w:p w14:paraId="06222AFB" w14:textId="77777777" w:rsidR="0028280C" w:rsidRDefault="0028280C"/>
    <w:p w14:paraId="67D7A324" w14:textId="77777777" w:rsidR="0028280C" w:rsidRDefault="0028280C"/>
    <w:p w14:paraId="569A929D" w14:textId="77777777" w:rsidR="0028280C" w:rsidRDefault="0028280C"/>
    <w:p w14:paraId="02F77884" w14:textId="77777777" w:rsidR="0028280C" w:rsidRDefault="0028280C"/>
    <w:p w14:paraId="6AD70D82" w14:textId="77777777" w:rsidR="0028280C" w:rsidRDefault="0028280C"/>
    <w:p w14:paraId="572E1EDA" w14:textId="77777777" w:rsidR="0028280C" w:rsidRDefault="0028280C"/>
    <w:p w14:paraId="1F626DE2" w14:textId="77777777" w:rsidR="0028280C" w:rsidRDefault="0028280C"/>
    <w:p w14:paraId="1E1E4508" w14:textId="3AEBE2A3" w:rsidR="00DA2244" w:rsidRDefault="00DA2244">
      <w:r>
        <w:br w:type="page"/>
      </w:r>
    </w:p>
    <w:p w14:paraId="5E3A30FB" w14:textId="303EBFEA" w:rsidR="0028280C" w:rsidRPr="0028280C" w:rsidRDefault="0028280C" w:rsidP="00DA2244">
      <w:pPr>
        <w:rPr>
          <w:rFonts w:ascii="Times New Roman" w:hAnsi="Times New Roman" w:cs="Times New Roman"/>
          <w:b/>
          <w:i/>
          <w:sz w:val="24"/>
          <w:szCs w:val="24"/>
        </w:rPr>
      </w:pPr>
    </w:p>
    <w:sdt>
      <w:sdtPr>
        <w:rPr>
          <w:rFonts w:asciiTheme="minorHAnsi" w:eastAsiaTheme="minorHAnsi" w:hAnsiTheme="minorHAnsi" w:cstheme="minorBidi"/>
          <w:color w:val="auto"/>
          <w:sz w:val="22"/>
          <w:szCs w:val="22"/>
          <w:lang w:eastAsia="en-US"/>
        </w:rPr>
        <w:id w:val="1611319577"/>
        <w:docPartObj>
          <w:docPartGallery w:val="Table of Contents"/>
          <w:docPartUnique/>
        </w:docPartObj>
      </w:sdtPr>
      <w:sdtEndPr>
        <w:rPr>
          <w:b/>
          <w:bCs/>
        </w:rPr>
      </w:sdtEndPr>
      <w:sdtContent>
        <w:p w14:paraId="27A7624F" w14:textId="03500613" w:rsidR="00DF46EC" w:rsidRDefault="00DF46EC">
          <w:pPr>
            <w:pStyle w:val="En-ttedetabledesmatires"/>
          </w:pPr>
          <w:r>
            <w:t>Table des matières</w:t>
          </w:r>
        </w:p>
        <w:p w14:paraId="645A6943" w14:textId="77777777" w:rsidR="00DF46EC" w:rsidRDefault="00DF46EC">
          <w:pPr>
            <w:pStyle w:val="TM1"/>
            <w:tabs>
              <w:tab w:val="right" w:leader="dot" w:pos="9016"/>
            </w:tabs>
            <w:rPr>
              <w:rFonts w:eastAsiaTheme="minorEastAsia"/>
              <w:noProof/>
              <w:lang w:eastAsia="fr-FR"/>
            </w:rPr>
          </w:pPr>
          <w:r>
            <w:fldChar w:fldCharType="begin"/>
          </w:r>
          <w:r>
            <w:instrText xml:space="preserve"> TOC \o "1-3" \h \z \u </w:instrText>
          </w:r>
          <w:r>
            <w:fldChar w:fldCharType="separate"/>
          </w:r>
          <w:hyperlink w:anchor="_Toc94482049" w:history="1">
            <w:r w:rsidRPr="00DC2D41">
              <w:rPr>
                <w:rStyle w:val="Lienhypertexte"/>
                <w:rFonts w:ascii="Bernard MT Condensed" w:hAnsi="Bernard MT Condensed"/>
                <w:noProof/>
              </w:rPr>
              <w:t>Sigles &amp; acronymes</w:t>
            </w:r>
            <w:r>
              <w:rPr>
                <w:noProof/>
                <w:webHidden/>
              </w:rPr>
              <w:tab/>
            </w:r>
            <w:r>
              <w:rPr>
                <w:noProof/>
                <w:webHidden/>
              </w:rPr>
              <w:fldChar w:fldCharType="begin"/>
            </w:r>
            <w:r>
              <w:rPr>
                <w:noProof/>
                <w:webHidden/>
              </w:rPr>
              <w:instrText xml:space="preserve"> PAGEREF _Toc94482049 \h </w:instrText>
            </w:r>
            <w:r>
              <w:rPr>
                <w:noProof/>
                <w:webHidden/>
              </w:rPr>
            </w:r>
            <w:r>
              <w:rPr>
                <w:noProof/>
                <w:webHidden/>
              </w:rPr>
              <w:fldChar w:fldCharType="separate"/>
            </w:r>
            <w:r w:rsidR="00A16CFC">
              <w:rPr>
                <w:noProof/>
                <w:webHidden/>
              </w:rPr>
              <w:t>4</w:t>
            </w:r>
            <w:r>
              <w:rPr>
                <w:noProof/>
                <w:webHidden/>
              </w:rPr>
              <w:fldChar w:fldCharType="end"/>
            </w:r>
          </w:hyperlink>
        </w:p>
        <w:p w14:paraId="7B851C0F" w14:textId="77777777" w:rsidR="00DF46EC" w:rsidRDefault="00E02FE2">
          <w:pPr>
            <w:pStyle w:val="TM1"/>
            <w:tabs>
              <w:tab w:val="right" w:leader="dot" w:pos="9016"/>
            </w:tabs>
            <w:rPr>
              <w:rFonts w:eastAsiaTheme="minorEastAsia"/>
              <w:noProof/>
              <w:lang w:eastAsia="fr-FR"/>
            </w:rPr>
          </w:pPr>
          <w:hyperlink w:anchor="_Toc94482050" w:history="1">
            <w:r w:rsidR="00DF46EC" w:rsidRPr="00DC2D41">
              <w:rPr>
                <w:rStyle w:val="Lienhypertexte"/>
                <w:rFonts w:ascii="Bernard MT Condensed" w:hAnsi="Bernard MT Condensed"/>
                <w:noProof/>
              </w:rPr>
              <w:t>Résumé exécutif</w:t>
            </w:r>
            <w:r w:rsidR="00DF46EC">
              <w:rPr>
                <w:noProof/>
                <w:webHidden/>
              </w:rPr>
              <w:tab/>
            </w:r>
            <w:r w:rsidR="00DF46EC">
              <w:rPr>
                <w:noProof/>
                <w:webHidden/>
              </w:rPr>
              <w:fldChar w:fldCharType="begin"/>
            </w:r>
            <w:r w:rsidR="00DF46EC">
              <w:rPr>
                <w:noProof/>
                <w:webHidden/>
              </w:rPr>
              <w:instrText xml:space="preserve"> PAGEREF _Toc94482050 \h </w:instrText>
            </w:r>
            <w:r w:rsidR="00DF46EC">
              <w:rPr>
                <w:noProof/>
                <w:webHidden/>
              </w:rPr>
            </w:r>
            <w:r w:rsidR="00DF46EC">
              <w:rPr>
                <w:noProof/>
                <w:webHidden/>
              </w:rPr>
              <w:fldChar w:fldCharType="separate"/>
            </w:r>
            <w:r w:rsidR="00A16CFC">
              <w:rPr>
                <w:noProof/>
                <w:webHidden/>
              </w:rPr>
              <w:t>6</w:t>
            </w:r>
            <w:r w:rsidR="00DF46EC">
              <w:rPr>
                <w:noProof/>
                <w:webHidden/>
              </w:rPr>
              <w:fldChar w:fldCharType="end"/>
            </w:r>
          </w:hyperlink>
        </w:p>
        <w:p w14:paraId="3C925ACB" w14:textId="77777777" w:rsidR="00DF46EC" w:rsidRDefault="00E02FE2">
          <w:pPr>
            <w:pStyle w:val="TM1"/>
            <w:tabs>
              <w:tab w:val="right" w:leader="dot" w:pos="9016"/>
            </w:tabs>
            <w:rPr>
              <w:rFonts w:eastAsiaTheme="minorEastAsia"/>
              <w:noProof/>
              <w:lang w:eastAsia="fr-FR"/>
            </w:rPr>
          </w:pPr>
          <w:hyperlink w:anchor="_Toc94482051" w:history="1">
            <w:r w:rsidR="00DF46EC" w:rsidRPr="00DC2D41">
              <w:rPr>
                <w:rStyle w:val="Lienhypertexte"/>
                <w:rFonts w:ascii="Bernard MT Condensed" w:hAnsi="Bernard MT Condensed"/>
                <w:noProof/>
              </w:rPr>
              <w:t>Introduction</w:t>
            </w:r>
            <w:r w:rsidR="00DF46EC">
              <w:rPr>
                <w:noProof/>
                <w:webHidden/>
              </w:rPr>
              <w:tab/>
            </w:r>
            <w:r w:rsidR="00DF46EC">
              <w:rPr>
                <w:noProof/>
                <w:webHidden/>
              </w:rPr>
              <w:fldChar w:fldCharType="begin"/>
            </w:r>
            <w:r w:rsidR="00DF46EC">
              <w:rPr>
                <w:noProof/>
                <w:webHidden/>
              </w:rPr>
              <w:instrText xml:space="preserve"> PAGEREF _Toc94482051 \h </w:instrText>
            </w:r>
            <w:r w:rsidR="00DF46EC">
              <w:rPr>
                <w:noProof/>
                <w:webHidden/>
              </w:rPr>
            </w:r>
            <w:r w:rsidR="00DF46EC">
              <w:rPr>
                <w:noProof/>
                <w:webHidden/>
              </w:rPr>
              <w:fldChar w:fldCharType="separate"/>
            </w:r>
            <w:r w:rsidR="00A16CFC">
              <w:rPr>
                <w:noProof/>
                <w:webHidden/>
              </w:rPr>
              <w:t>11</w:t>
            </w:r>
            <w:r w:rsidR="00DF46EC">
              <w:rPr>
                <w:noProof/>
                <w:webHidden/>
              </w:rPr>
              <w:fldChar w:fldCharType="end"/>
            </w:r>
          </w:hyperlink>
        </w:p>
        <w:p w14:paraId="55B1F496" w14:textId="77777777" w:rsidR="00DF46EC" w:rsidRDefault="00E02FE2">
          <w:pPr>
            <w:pStyle w:val="TM2"/>
            <w:tabs>
              <w:tab w:val="left" w:pos="660"/>
              <w:tab w:val="right" w:leader="dot" w:pos="9016"/>
            </w:tabs>
            <w:rPr>
              <w:rFonts w:eastAsiaTheme="minorEastAsia"/>
              <w:noProof/>
              <w:lang w:eastAsia="fr-FR"/>
            </w:rPr>
          </w:pPr>
          <w:hyperlink w:anchor="_Toc94482052" w:history="1">
            <w:r w:rsidR="00DF46EC" w:rsidRPr="00DC2D41">
              <w:rPr>
                <w:rStyle w:val="Lienhypertexte"/>
                <w:rFonts w:ascii="Wingdings" w:hAnsi="Wingdings"/>
                <w:noProof/>
              </w:rPr>
              <w:t></w:t>
            </w:r>
            <w:r w:rsidR="00DF46EC">
              <w:rPr>
                <w:rFonts w:eastAsiaTheme="minorEastAsia"/>
                <w:noProof/>
                <w:lang w:eastAsia="fr-FR"/>
              </w:rPr>
              <w:tab/>
            </w:r>
            <w:r w:rsidR="00DF46EC" w:rsidRPr="00DC2D41">
              <w:rPr>
                <w:rStyle w:val="Lienhypertexte"/>
                <w:rFonts w:ascii="Bernard MT Condensed" w:hAnsi="Bernard MT Condensed"/>
                <w:noProof/>
              </w:rPr>
              <w:t>Objectifs visés par l’analyse Commune Pays</w:t>
            </w:r>
            <w:r w:rsidR="00DF46EC">
              <w:rPr>
                <w:noProof/>
                <w:webHidden/>
              </w:rPr>
              <w:tab/>
            </w:r>
            <w:r w:rsidR="00DF46EC">
              <w:rPr>
                <w:noProof/>
                <w:webHidden/>
              </w:rPr>
              <w:fldChar w:fldCharType="begin"/>
            </w:r>
            <w:r w:rsidR="00DF46EC">
              <w:rPr>
                <w:noProof/>
                <w:webHidden/>
              </w:rPr>
              <w:instrText xml:space="preserve"> PAGEREF _Toc94482052 \h </w:instrText>
            </w:r>
            <w:r w:rsidR="00DF46EC">
              <w:rPr>
                <w:noProof/>
                <w:webHidden/>
              </w:rPr>
            </w:r>
            <w:r w:rsidR="00DF46EC">
              <w:rPr>
                <w:noProof/>
                <w:webHidden/>
              </w:rPr>
              <w:fldChar w:fldCharType="separate"/>
            </w:r>
            <w:r w:rsidR="00A16CFC">
              <w:rPr>
                <w:noProof/>
                <w:webHidden/>
              </w:rPr>
              <w:t>11</w:t>
            </w:r>
            <w:r w:rsidR="00DF46EC">
              <w:rPr>
                <w:noProof/>
                <w:webHidden/>
              </w:rPr>
              <w:fldChar w:fldCharType="end"/>
            </w:r>
          </w:hyperlink>
        </w:p>
        <w:p w14:paraId="27010C57" w14:textId="77777777" w:rsidR="00DF46EC" w:rsidRDefault="00E02FE2">
          <w:pPr>
            <w:pStyle w:val="TM2"/>
            <w:tabs>
              <w:tab w:val="left" w:pos="660"/>
              <w:tab w:val="right" w:leader="dot" w:pos="9016"/>
            </w:tabs>
            <w:rPr>
              <w:rFonts w:eastAsiaTheme="minorEastAsia"/>
              <w:noProof/>
              <w:lang w:eastAsia="fr-FR"/>
            </w:rPr>
          </w:pPr>
          <w:hyperlink w:anchor="_Toc94482053" w:history="1">
            <w:r w:rsidR="00DF46EC" w:rsidRPr="00DC2D41">
              <w:rPr>
                <w:rStyle w:val="Lienhypertexte"/>
                <w:rFonts w:ascii="Wingdings" w:hAnsi="Wingdings"/>
                <w:noProof/>
              </w:rPr>
              <w:t></w:t>
            </w:r>
            <w:r w:rsidR="00DF46EC">
              <w:rPr>
                <w:rFonts w:eastAsiaTheme="minorEastAsia"/>
                <w:noProof/>
                <w:lang w:eastAsia="fr-FR"/>
              </w:rPr>
              <w:tab/>
            </w:r>
            <w:r w:rsidR="00DF46EC" w:rsidRPr="00DC2D41">
              <w:rPr>
                <w:rStyle w:val="Lienhypertexte"/>
                <w:rFonts w:ascii="Bernard MT Condensed" w:hAnsi="Bernard MT Condensed"/>
                <w:noProof/>
              </w:rPr>
              <w:t>Approche méthodologique</w:t>
            </w:r>
            <w:r w:rsidR="00DF46EC">
              <w:rPr>
                <w:noProof/>
                <w:webHidden/>
              </w:rPr>
              <w:tab/>
            </w:r>
            <w:r w:rsidR="00DF46EC">
              <w:rPr>
                <w:noProof/>
                <w:webHidden/>
              </w:rPr>
              <w:fldChar w:fldCharType="begin"/>
            </w:r>
            <w:r w:rsidR="00DF46EC">
              <w:rPr>
                <w:noProof/>
                <w:webHidden/>
              </w:rPr>
              <w:instrText xml:space="preserve"> PAGEREF _Toc94482053 \h </w:instrText>
            </w:r>
            <w:r w:rsidR="00DF46EC">
              <w:rPr>
                <w:noProof/>
                <w:webHidden/>
              </w:rPr>
            </w:r>
            <w:r w:rsidR="00DF46EC">
              <w:rPr>
                <w:noProof/>
                <w:webHidden/>
              </w:rPr>
              <w:fldChar w:fldCharType="separate"/>
            </w:r>
            <w:r w:rsidR="00A16CFC">
              <w:rPr>
                <w:noProof/>
                <w:webHidden/>
              </w:rPr>
              <w:t>11</w:t>
            </w:r>
            <w:r w:rsidR="00DF46EC">
              <w:rPr>
                <w:noProof/>
                <w:webHidden/>
              </w:rPr>
              <w:fldChar w:fldCharType="end"/>
            </w:r>
          </w:hyperlink>
        </w:p>
        <w:p w14:paraId="6E432405" w14:textId="77777777" w:rsidR="00DF46EC" w:rsidRDefault="00E02FE2">
          <w:pPr>
            <w:pStyle w:val="TM1"/>
            <w:tabs>
              <w:tab w:val="right" w:leader="dot" w:pos="9016"/>
            </w:tabs>
            <w:rPr>
              <w:rFonts w:eastAsiaTheme="minorEastAsia"/>
              <w:noProof/>
              <w:lang w:eastAsia="fr-FR"/>
            </w:rPr>
          </w:pPr>
          <w:hyperlink w:anchor="_Toc94482054" w:history="1">
            <w:r w:rsidR="00DF46EC" w:rsidRPr="00DC2D41">
              <w:rPr>
                <w:rStyle w:val="Lienhypertexte"/>
                <w:rFonts w:ascii="Bernard MT Condensed" w:hAnsi="Bernard MT Condensed"/>
                <w:noProof/>
              </w:rPr>
              <w:t>I - Etat des lieux du contexte national</w:t>
            </w:r>
            <w:r w:rsidR="00DF46EC">
              <w:rPr>
                <w:noProof/>
                <w:webHidden/>
              </w:rPr>
              <w:tab/>
            </w:r>
            <w:r w:rsidR="00DF46EC">
              <w:rPr>
                <w:noProof/>
                <w:webHidden/>
              </w:rPr>
              <w:fldChar w:fldCharType="begin"/>
            </w:r>
            <w:r w:rsidR="00DF46EC">
              <w:rPr>
                <w:noProof/>
                <w:webHidden/>
              </w:rPr>
              <w:instrText xml:space="preserve"> PAGEREF _Toc94482054 \h </w:instrText>
            </w:r>
            <w:r w:rsidR="00DF46EC">
              <w:rPr>
                <w:noProof/>
                <w:webHidden/>
              </w:rPr>
            </w:r>
            <w:r w:rsidR="00DF46EC">
              <w:rPr>
                <w:noProof/>
                <w:webHidden/>
              </w:rPr>
              <w:fldChar w:fldCharType="separate"/>
            </w:r>
            <w:r w:rsidR="00A16CFC">
              <w:rPr>
                <w:noProof/>
                <w:webHidden/>
              </w:rPr>
              <w:t>12</w:t>
            </w:r>
            <w:r w:rsidR="00DF46EC">
              <w:rPr>
                <w:noProof/>
                <w:webHidden/>
              </w:rPr>
              <w:fldChar w:fldCharType="end"/>
            </w:r>
          </w:hyperlink>
        </w:p>
        <w:p w14:paraId="20C9B96C" w14:textId="77777777" w:rsidR="00DF46EC" w:rsidRDefault="00E02FE2">
          <w:pPr>
            <w:pStyle w:val="TM2"/>
            <w:tabs>
              <w:tab w:val="right" w:leader="dot" w:pos="9016"/>
            </w:tabs>
            <w:rPr>
              <w:rFonts w:eastAsiaTheme="minorEastAsia"/>
              <w:noProof/>
              <w:lang w:eastAsia="fr-FR"/>
            </w:rPr>
          </w:pPr>
          <w:hyperlink w:anchor="_Toc94482055" w:history="1">
            <w:r w:rsidR="00DF46EC" w:rsidRPr="00DC2D41">
              <w:rPr>
                <w:rStyle w:val="Lienhypertexte"/>
                <w:rFonts w:ascii="Bernard MT Condensed" w:hAnsi="Bernard MT Condensed"/>
                <w:noProof/>
              </w:rPr>
              <w:t>I.1 - Situation géographique et administrative</w:t>
            </w:r>
            <w:r w:rsidR="00DF46EC">
              <w:rPr>
                <w:noProof/>
                <w:webHidden/>
              </w:rPr>
              <w:tab/>
            </w:r>
            <w:r w:rsidR="00DF46EC">
              <w:rPr>
                <w:noProof/>
                <w:webHidden/>
              </w:rPr>
              <w:fldChar w:fldCharType="begin"/>
            </w:r>
            <w:r w:rsidR="00DF46EC">
              <w:rPr>
                <w:noProof/>
                <w:webHidden/>
              </w:rPr>
              <w:instrText xml:space="preserve"> PAGEREF _Toc94482055 \h </w:instrText>
            </w:r>
            <w:r w:rsidR="00DF46EC">
              <w:rPr>
                <w:noProof/>
                <w:webHidden/>
              </w:rPr>
            </w:r>
            <w:r w:rsidR="00DF46EC">
              <w:rPr>
                <w:noProof/>
                <w:webHidden/>
              </w:rPr>
              <w:fldChar w:fldCharType="separate"/>
            </w:r>
            <w:r w:rsidR="00A16CFC">
              <w:rPr>
                <w:noProof/>
                <w:webHidden/>
              </w:rPr>
              <w:t>12</w:t>
            </w:r>
            <w:r w:rsidR="00DF46EC">
              <w:rPr>
                <w:noProof/>
                <w:webHidden/>
              </w:rPr>
              <w:fldChar w:fldCharType="end"/>
            </w:r>
          </w:hyperlink>
        </w:p>
        <w:p w14:paraId="75DB2365" w14:textId="77777777" w:rsidR="00DF46EC" w:rsidRDefault="00E02FE2">
          <w:pPr>
            <w:pStyle w:val="TM2"/>
            <w:tabs>
              <w:tab w:val="right" w:leader="dot" w:pos="9016"/>
            </w:tabs>
            <w:rPr>
              <w:rFonts w:eastAsiaTheme="minorEastAsia"/>
              <w:noProof/>
              <w:lang w:eastAsia="fr-FR"/>
            </w:rPr>
          </w:pPr>
          <w:hyperlink w:anchor="_Toc94482056" w:history="1">
            <w:r w:rsidR="00DF46EC" w:rsidRPr="00DC2D41">
              <w:rPr>
                <w:rStyle w:val="Lienhypertexte"/>
                <w:rFonts w:ascii="Bernard MT Condensed" w:hAnsi="Bernard MT Condensed"/>
                <w:noProof/>
              </w:rPr>
              <w:t>I.2 - Situation démographique</w:t>
            </w:r>
            <w:r w:rsidR="00DF46EC">
              <w:rPr>
                <w:noProof/>
                <w:webHidden/>
              </w:rPr>
              <w:tab/>
            </w:r>
            <w:r w:rsidR="00DF46EC">
              <w:rPr>
                <w:noProof/>
                <w:webHidden/>
              </w:rPr>
              <w:fldChar w:fldCharType="begin"/>
            </w:r>
            <w:r w:rsidR="00DF46EC">
              <w:rPr>
                <w:noProof/>
                <w:webHidden/>
              </w:rPr>
              <w:instrText xml:space="preserve"> PAGEREF _Toc94482056 \h </w:instrText>
            </w:r>
            <w:r w:rsidR="00DF46EC">
              <w:rPr>
                <w:noProof/>
                <w:webHidden/>
              </w:rPr>
            </w:r>
            <w:r w:rsidR="00DF46EC">
              <w:rPr>
                <w:noProof/>
                <w:webHidden/>
              </w:rPr>
              <w:fldChar w:fldCharType="separate"/>
            </w:r>
            <w:r w:rsidR="00A16CFC">
              <w:rPr>
                <w:noProof/>
                <w:webHidden/>
              </w:rPr>
              <w:t>13</w:t>
            </w:r>
            <w:r w:rsidR="00DF46EC">
              <w:rPr>
                <w:noProof/>
                <w:webHidden/>
              </w:rPr>
              <w:fldChar w:fldCharType="end"/>
            </w:r>
          </w:hyperlink>
        </w:p>
        <w:p w14:paraId="72E9DE9D" w14:textId="77777777" w:rsidR="00DF46EC" w:rsidRDefault="00E02FE2">
          <w:pPr>
            <w:pStyle w:val="TM2"/>
            <w:tabs>
              <w:tab w:val="right" w:leader="dot" w:pos="9016"/>
            </w:tabs>
            <w:rPr>
              <w:rFonts w:eastAsiaTheme="minorEastAsia"/>
              <w:noProof/>
              <w:lang w:eastAsia="fr-FR"/>
            </w:rPr>
          </w:pPr>
          <w:hyperlink w:anchor="_Toc94482057" w:history="1">
            <w:r w:rsidR="00DF46EC" w:rsidRPr="00DC2D41">
              <w:rPr>
                <w:rStyle w:val="Lienhypertexte"/>
                <w:rFonts w:ascii="Bernard MT Condensed" w:hAnsi="Bernard MT Condensed"/>
                <w:noProof/>
              </w:rPr>
              <w:t>I.3 - Etat des lieux de la gouvernance, la paix, la sécurité, des migrations et de l’asile</w:t>
            </w:r>
            <w:r w:rsidR="00DF46EC">
              <w:rPr>
                <w:noProof/>
                <w:webHidden/>
              </w:rPr>
              <w:tab/>
            </w:r>
            <w:r w:rsidR="00DF46EC">
              <w:rPr>
                <w:noProof/>
                <w:webHidden/>
              </w:rPr>
              <w:fldChar w:fldCharType="begin"/>
            </w:r>
            <w:r w:rsidR="00DF46EC">
              <w:rPr>
                <w:noProof/>
                <w:webHidden/>
              </w:rPr>
              <w:instrText xml:space="preserve"> PAGEREF _Toc94482057 \h </w:instrText>
            </w:r>
            <w:r w:rsidR="00DF46EC">
              <w:rPr>
                <w:noProof/>
                <w:webHidden/>
              </w:rPr>
            </w:r>
            <w:r w:rsidR="00DF46EC">
              <w:rPr>
                <w:noProof/>
                <w:webHidden/>
              </w:rPr>
              <w:fldChar w:fldCharType="separate"/>
            </w:r>
            <w:r w:rsidR="00A16CFC">
              <w:rPr>
                <w:noProof/>
                <w:webHidden/>
              </w:rPr>
              <w:t>15</w:t>
            </w:r>
            <w:r w:rsidR="00DF46EC">
              <w:rPr>
                <w:noProof/>
                <w:webHidden/>
              </w:rPr>
              <w:fldChar w:fldCharType="end"/>
            </w:r>
          </w:hyperlink>
        </w:p>
        <w:p w14:paraId="110E0FDE" w14:textId="77777777" w:rsidR="00DF46EC" w:rsidRDefault="00E02FE2">
          <w:pPr>
            <w:pStyle w:val="TM3"/>
            <w:tabs>
              <w:tab w:val="right" w:leader="dot" w:pos="9016"/>
            </w:tabs>
            <w:rPr>
              <w:rFonts w:eastAsiaTheme="minorEastAsia"/>
              <w:noProof/>
              <w:lang w:eastAsia="fr-FR"/>
            </w:rPr>
          </w:pPr>
          <w:hyperlink w:anchor="_Toc94482058" w:history="1">
            <w:r w:rsidR="00DF46EC" w:rsidRPr="00DC2D41">
              <w:rPr>
                <w:rStyle w:val="Lienhypertexte"/>
                <w:rFonts w:ascii="Bernard MT Condensed" w:hAnsi="Bernard MT Condensed"/>
                <w:noProof/>
              </w:rPr>
              <w:t>I.3.1 - Etat des lieux de la gouvernance politique</w:t>
            </w:r>
            <w:r w:rsidR="00DF46EC">
              <w:rPr>
                <w:noProof/>
                <w:webHidden/>
              </w:rPr>
              <w:tab/>
            </w:r>
            <w:r w:rsidR="00DF46EC">
              <w:rPr>
                <w:noProof/>
                <w:webHidden/>
              </w:rPr>
              <w:fldChar w:fldCharType="begin"/>
            </w:r>
            <w:r w:rsidR="00DF46EC">
              <w:rPr>
                <w:noProof/>
                <w:webHidden/>
              </w:rPr>
              <w:instrText xml:space="preserve"> PAGEREF _Toc94482058 \h </w:instrText>
            </w:r>
            <w:r w:rsidR="00DF46EC">
              <w:rPr>
                <w:noProof/>
                <w:webHidden/>
              </w:rPr>
            </w:r>
            <w:r w:rsidR="00DF46EC">
              <w:rPr>
                <w:noProof/>
                <w:webHidden/>
              </w:rPr>
              <w:fldChar w:fldCharType="separate"/>
            </w:r>
            <w:r w:rsidR="00A16CFC">
              <w:rPr>
                <w:noProof/>
                <w:webHidden/>
              </w:rPr>
              <w:t>15</w:t>
            </w:r>
            <w:r w:rsidR="00DF46EC">
              <w:rPr>
                <w:noProof/>
                <w:webHidden/>
              </w:rPr>
              <w:fldChar w:fldCharType="end"/>
            </w:r>
          </w:hyperlink>
        </w:p>
        <w:p w14:paraId="6383819A" w14:textId="77777777" w:rsidR="00DF46EC" w:rsidRDefault="00E02FE2">
          <w:pPr>
            <w:pStyle w:val="TM3"/>
            <w:tabs>
              <w:tab w:val="right" w:leader="dot" w:pos="9016"/>
            </w:tabs>
            <w:rPr>
              <w:rFonts w:eastAsiaTheme="minorEastAsia"/>
              <w:noProof/>
              <w:lang w:eastAsia="fr-FR"/>
            </w:rPr>
          </w:pPr>
          <w:hyperlink w:anchor="_Toc94482059" w:history="1">
            <w:r w:rsidR="00DF46EC" w:rsidRPr="00DC2D41">
              <w:rPr>
                <w:rStyle w:val="Lienhypertexte"/>
                <w:rFonts w:ascii="Bernard MT Condensed" w:hAnsi="Bernard MT Condensed"/>
                <w:noProof/>
              </w:rPr>
              <w:t>I.3.2 - Etat des lieux de la gouvernance sécuritaire</w:t>
            </w:r>
            <w:r w:rsidR="00DF46EC">
              <w:rPr>
                <w:noProof/>
                <w:webHidden/>
              </w:rPr>
              <w:tab/>
            </w:r>
            <w:r w:rsidR="00DF46EC">
              <w:rPr>
                <w:noProof/>
                <w:webHidden/>
              </w:rPr>
              <w:fldChar w:fldCharType="begin"/>
            </w:r>
            <w:r w:rsidR="00DF46EC">
              <w:rPr>
                <w:noProof/>
                <w:webHidden/>
              </w:rPr>
              <w:instrText xml:space="preserve"> PAGEREF _Toc94482059 \h </w:instrText>
            </w:r>
            <w:r w:rsidR="00DF46EC">
              <w:rPr>
                <w:noProof/>
                <w:webHidden/>
              </w:rPr>
            </w:r>
            <w:r w:rsidR="00DF46EC">
              <w:rPr>
                <w:noProof/>
                <w:webHidden/>
              </w:rPr>
              <w:fldChar w:fldCharType="separate"/>
            </w:r>
            <w:r w:rsidR="00A16CFC">
              <w:rPr>
                <w:noProof/>
                <w:webHidden/>
              </w:rPr>
              <w:t>18</w:t>
            </w:r>
            <w:r w:rsidR="00DF46EC">
              <w:rPr>
                <w:noProof/>
                <w:webHidden/>
              </w:rPr>
              <w:fldChar w:fldCharType="end"/>
            </w:r>
          </w:hyperlink>
        </w:p>
        <w:p w14:paraId="457E6033" w14:textId="77777777" w:rsidR="00DF46EC" w:rsidRDefault="00E02FE2">
          <w:pPr>
            <w:pStyle w:val="TM3"/>
            <w:tabs>
              <w:tab w:val="right" w:leader="dot" w:pos="9016"/>
            </w:tabs>
            <w:rPr>
              <w:rFonts w:eastAsiaTheme="minorEastAsia"/>
              <w:noProof/>
              <w:lang w:eastAsia="fr-FR"/>
            </w:rPr>
          </w:pPr>
          <w:hyperlink w:anchor="_Toc94482061" w:history="1">
            <w:r w:rsidR="00DF46EC" w:rsidRPr="00DC2D41">
              <w:rPr>
                <w:rStyle w:val="Lienhypertexte"/>
                <w:rFonts w:ascii="Bernard MT Condensed" w:hAnsi="Bernard MT Condensed"/>
                <w:noProof/>
              </w:rPr>
              <w:t>I.3.3 - Etat des lieux de la gouvernance migratoire et de l’asile</w:t>
            </w:r>
            <w:r w:rsidR="00DF46EC">
              <w:rPr>
                <w:noProof/>
                <w:webHidden/>
              </w:rPr>
              <w:tab/>
            </w:r>
            <w:r w:rsidR="00DF46EC">
              <w:rPr>
                <w:noProof/>
                <w:webHidden/>
              </w:rPr>
              <w:fldChar w:fldCharType="begin"/>
            </w:r>
            <w:r w:rsidR="00DF46EC">
              <w:rPr>
                <w:noProof/>
                <w:webHidden/>
              </w:rPr>
              <w:instrText xml:space="preserve"> PAGEREF _Toc94482061 \h </w:instrText>
            </w:r>
            <w:r w:rsidR="00DF46EC">
              <w:rPr>
                <w:noProof/>
                <w:webHidden/>
              </w:rPr>
            </w:r>
            <w:r w:rsidR="00DF46EC">
              <w:rPr>
                <w:noProof/>
                <w:webHidden/>
              </w:rPr>
              <w:fldChar w:fldCharType="separate"/>
            </w:r>
            <w:r w:rsidR="00A16CFC">
              <w:rPr>
                <w:noProof/>
                <w:webHidden/>
              </w:rPr>
              <w:t>20</w:t>
            </w:r>
            <w:r w:rsidR="00DF46EC">
              <w:rPr>
                <w:noProof/>
                <w:webHidden/>
              </w:rPr>
              <w:fldChar w:fldCharType="end"/>
            </w:r>
          </w:hyperlink>
        </w:p>
        <w:p w14:paraId="48480990" w14:textId="77777777" w:rsidR="00DF46EC" w:rsidRDefault="00E02FE2">
          <w:pPr>
            <w:pStyle w:val="TM3"/>
            <w:tabs>
              <w:tab w:val="right" w:leader="dot" w:pos="9016"/>
            </w:tabs>
            <w:rPr>
              <w:rFonts w:eastAsiaTheme="minorEastAsia"/>
              <w:noProof/>
              <w:lang w:eastAsia="fr-FR"/>
            </w:rPr>
          </w:pPr>
          <w:hyperlink w:anchor="_Toc94482064" w:history="1">
            <w:r w:rsidR="00DF46EC" w:rsidRPr="00DC2D41">
              <w:rPr>
                <w:rStyle w:val="Lienhypertexte"/>
                <w:rFonts w:ascii="Bernard MT Condensed" w:hAnsi="Bernard MT Condensed"/>
                <w:noProof/>
              </w:rPr>
              <w:t>I.3.4 - Etat des lieux de la gouvernance judiciaire et juridique</w:t>
            </w:r>
            <w:r w:rsidR="00DF46EC">
              <w:rPr>
                <w:noProof/>
                <w:webHidden/>
              </w:rPr>
              <w:tab/>
            </w:r>
            <w:r w:rsidR="00DF46EC">
              <w:rPr>
                <w:noProof/>
                <w:webHidden/>
              </w:rPr>
              <w:fldChar w:fldCharType="begin"/>
            </w:r>
            <w:r w:rsidR="00DF46EC">
              <w:rPr>
                <w:noProof/>
                <w:webHidden/>
              </w:rPr>
              <w:instrText xml:space="preserve"> PAGEREF _Toc94482064 \h </w:instrText>
            </w:r>
            <w:r w:rsidR="00DF46EC">
              <w:rPr>
                <w:noProof/>
                <w:webHidden/>
              </w:rPr>
            </w:r>
            <w:r w:rsidR="00DF46EC">
              <w:rPr>
                <w:noProof/>
                <w:webHidden/>
              </w:rPr>
              <w:fldChar w:fldCharType="separate"/>
            </w:r>
            <w:r w:rsidR="00A16CFC">
              <w:rPr>
                <w:noProof/>
                <w:webHidden/>
              </w:rPr>
              <w:t>23</w:t>
            </w:r>
            <w:r w:rsidR="00DF46EC">
              <w:rPr>
                <w:noProof/>
                <w:webHidden/>
              </w:rPr>
              <w:fldChar w:fldCharType="end"/>
            </w:r>
          </w:hyperlink>
        </w:p>
        <w:p w14:paraId="0EA3ACDC" w14:textId="77777777" w:rsidR="00DF46EC" w:rsidRDefault="00E02FE2">
          <w:pPr>
            <w:pStyle w:val="TM3"/>
            <w:tabs>
              <w:tab w:val="right" w:leader="dot" w:pos="9016"/>
            </w:tabs>
            <w:rPr>
              <w:rFonts w:eastAsiaTheme="minorEastAsia"/>
              <w:noProof/>
              <w:lang w:eastAsia="fr-FR"/>
            </w:rPr>
          </w:pPr>
          <w:hyperlink w:anchor="_Toc94482065" w:history="1">
            <w:r w:rsidR="00DF46EC" w:rsidRPr="00DC2D41">
              <w:rPr>
                <w:rStyle w:val="Lienhypertexte"/>
                <w:rFonts w:ascii="Bernard MT Condensed" w:hAnsi="Bernard MT Condensed"/>
                <w:noProof/>
              </w:rPr>
              <w:t>I.3.5 - Etat des lieux de la gouvernance administrative et locale</w:t>
            </w:r>
            <w:r w:rsidR="00DF46EC">
              <w:rPr>
                <w:noProof/>
                <w:webHidden/>
              </w:rPr>
              <w:tab/>
            </w:r>
            <w:r w:rsidR="00DF46EC">
              <w:rPr>
                <w:noProof/>
                <w:webHidden/>
              </w:rPr>
              <w:fldChar w:fldCharType="begin"/>
            </w:r>
            <w:r w:rsidR="00DF46EC">
              <w:rPr>
                <w:noProof/>
                <w:webHidden/>
              </w:rPr>
              <w:instrText xml:space="preserve"> PAGEREF _Toc94482065 \h </w:instrText>
            </w:r>
            <w:r w:rsidR="00DF46EC">
              <w:rPr>
                <w:noProof/>
                <w:webHidden/>
              </w:rPr>
            </w:r>
            <w:r w:rsidR="00DF46EC">
              <w:rPr>
                <w:noProof/>
                <w:webHidden/>
              </w:rPr>
              <w:fldChar w:fldCharType="separate"/>
            </w:r>
            <w:r w:rsidR="00A16CFC">
              <w:rPr>
                <w:noProof/>
                <w:webHidden/>
              </w:rPr>
              <w:t>26</w:t>
            </w:r>
            <w:r w:rsidR="00DF46EC">
              <w:rPr>
                <w:noProof/>
                <w:webHidden/>
              </w:rPr>
              <w:fldChar w:fldCharType="end"/>
            </w:r>
          </w:hyperlink>
        </w:p>
        <w:p w14:paraId="382B3BB4" w14:textId="77777777" w:rsidR="00DF46EC" w:rsidRDefault="00E02FE2">
          <w:pPr>
            <w:pStyle w:val="TM3"/>
            <w:tabs>
              <w:tab w:val="right" w:leader="dot" w:pos="9016"/>
            </w:tabs>
            <w:rPr>
              <w:rFonts w:eastAsiaTheme="minorEastAsia"/>
              <w:noProof/>
              <w:lang w:eastAsia="fr-FR"/>
            </w:rPr>
          </w:pPr>
          <w:hyperlink w:anchor="_Toc94482066" w:history="1">
            <w:r w:rsidR="00DF46EC" w:rsidRPr="00DC2D41">
              <w:rPr>
                <w:rStyle w:val="Lienhypertexte"/>
                <w:rFonts w:ascii="Bernard MT Condensed" w:hAnsi="Bernard MT Condensed"/>
                <w:noProof/>
              </w:rPr>
              <w:t>I.3.6 - Etat des lieux de la gouvernance économique</w:t>
            </w:r>
            <w:r w:rsidR="00DF46EC">
              <w:rPr>
                <w:noProof/>
                <w:webHidden/>
              </w:rPr>
              <w:tab/>
            </w:r>
            <w:r w:rsidR="00DF46EC">
              <w:rPr>
                <w:noProof/>
                <w:webHidden/>
              </w:rPr>
              <w:fldChar w:fldCharType="begin"/>
            </w:r>
            <w:r w:rsidR="00DF46EC">
              <w:rPr>
                <w:noProof/>
                <w:webHidden/>
              </w:rPr>
              <w:instrText xml:space="preserve"> PAGEREF _Toc94482066 \h </w:instrText>
            </w:r>
            <w:r w:rsidR="00DF46EC">
              <w:rPr>
                <w:noProof/>
                <w:webHidden/>
              </w:rPr>
            </w:r>
            <w:r w:rsidR="00DF46EC">
              <w:rPr>
                <w:noProof/>
                <w:webHidden/>
              </w:rPr>
              <w:fldChar w:fldCharType="separate"/>
            </w:r>
            <w:r w:rsidR="00A16CFC">
              <w:rPr>
                <w:noProof/>
                <w:webHidden/>
              </w:rPr>
              <w:t>28</w:t>
            </w:r>
            <w:r w:rsidR="00DF46EC">
              <w:rPr>
                <w:noProof/>
                <w:webHidden/>
              </w:rPr>
              <w:fldChar w:fldCharType="end"/>
            </w:r>
          </w:hyperlink>
        </w:p>
        <w:p w14:paraId="6D9E42AD" w14:textId="77777777" w:rsidR="00DF46EC" w:rsidRDefault="00E02FE2">
          <w:pPr>
            <w:pStyle w:val="TM2"/>
            <w:tabs>
              <w:tab w:val="right" w:leader="dot" w:pos="9016"/>
            </w:tabs>
            <w:rPr>
              <w:rFonts w:eastAsiaTheme="minorEastAsia"/>
              <w:noProof/>
              <w:lang w:eastAsia="fr-FR"/>
            </w:rPr>
          </w:pPr>
          <w:hyperlink w:anchor="_Toc94482067" w:history="1">
            <w:r w:rsidR="00DF46EC" w:rsidRPr="00DC2D41">
              <w:rPr>
                <w:rStyle w:val="Lienhypertexte"/>
                <w:rFonts w:ascii="Bernard MT Condensed" w:hAnsi="Bernard MT Condensed"/>
                <w:noProof/>
              </w:rPr>
              <w:t>I.4 - Etat des lieux de la situation sociale</w:t>
            </w:r>
            <w:r w:rsidR="00DF46EC">
              <w:rPr>
                <w:noProof/>
                <w:webHidden/>
              </w:rPr>
              <w:tab/>
            </w:r>
            <w:r w:rsidR="00DF46EC">
              <w:rPr>
                <w:noProof/>
                <w:webHidden/>
              </w:rPr>
              <w:fldChar w:fldCharType="begin"/>
            </w:r>
            <w:r w:rsidR="00DF46EC">
              <w:rPr>
                <w:noProof/>
                <w:webHidden/>
              </w:rPr>
              <w:instrText xml:space="preserve"> PAGEREF _Toc94482067 \h </w:instrText>
            </w:r>
            <w:r w:rsidR="00DF46EC">
              <w:rPr>
                <w:noProof/>
                <w:webHidden/>
              </w:rPr>
            </w:r>
            <w:r w:rsidR="00DF46EC">
              <w:rPr>
                <w:noProof/>
                <w:webHidden/>
              </w:rPr>
              <w:fldChar w:fldCharType="separate"/>
            </w:r>
            <w:r w:rsidR="00A16CFC">
              <w:rPr>
                <w:noProof/>
                <w:webHidden/>
              </w:rPr>
              <w:t>42</w:t>
            </w:r>
            <w:r w:rsidR="00DF46EC">
              <w:rPr>
                <w:noProof/>
                <w:webHidden/>
              </w:rPr>
              <w:fldChar w:fldCharType="end"/>
            </w:r>
          </w:hyperlink>
        </w:p>
        <w:p w14:paraId="6B70E254" w14:textId="77777777" w:rsidR="00DF46EC" w:rsidRDefault="00E02FE2">
          <w:pPr>
            <w:pStyle w:val="TM3"/>
            <w:tabs>
              <w:tab w:val="right" w:leader="dot" w:pos="9016"/>
            </w:tabs>
            <w:rPr>
              <w:rFonts w:eastAsiaTheme="minorEastAsia"/>
              <w:noProof/>
              <w:lang w:eastAsia="fr-FR"/>
            </w:rPr>
          </w:pPr>
          <w:hyperlink w:anchor="_Toc94482068" w:history="1">
            <w:r w:rsidR="00DF46EC" w:rsidRPr="00DC2D41">
              <w:rPr>
                <w:rStyle w:val="Lienhypertexte"/>
                <w:rFonts w:ascii="Bernard MT Condensed" w:hAnsi="Bernard MT Condensed"/>
                <w:noProof/>
              </w:rPr>
              <w:t>I.4.1 - Pauvreté</w:t>
            </w:r>
            <w:r w:rsidR="00DF46EC">
              <w:rPr>
                <w:noProof/>
                <w:webHidden/>
              </w:rPr>
              <w:tab/>
            </w:r>
            <w:r w:rsidR="00DF46EC">
              <w:rPr>
                <w:noProof/>
                <w:webHidden/>
              </w:rPr>
              <w:fldChar w:fldCharType="begin"/>
            </w:r>
            <w:r w:rsidR="00DF46EC">
              <w:rPr>
                <w:noProof/>
                <w:webHidden/>
              </w:rPr>
              <w:instrText xml:space="preserve"> PAGEREF _Toc94482068 \h </w:instrText>
            </w:r>
            <w:r w:rsidR="00DF46EC">
              <w:rPr>
                <w:noProof/>
                <w:webHidden/>
              </w:rPr>
            </w:r>
            <w:r w:rsidR="00DF46EC">
              <w:rPr>
                <w:noProof/>
                <w:webHidden/>
              </w:rPr>
              <w:fldChar w:fldCharType="separate"/>
            </w:r>
            <w:r w:rsidR="00A16CFC">
              <w:rPr>
                <w:noProof/>
                <w:webHidden/>
              </w:rPr>
              <w:t>43</w:t>
            </w:r>
            <w:r w:rsidR="00DF46EC">
              <w:rPr>
                <w:noProof/>
                <w:webHidden/>
              </w:rPr>
              <w:fldChar w:fldCharType="end"/>
            </w:r>
          </w:hyperlink>
        </w:p>
        <w:p w14:paraId="64A7978A" w14:textId="77777777" w:rsidR="00DF46EC" w:rsidRDefault="00E02FE2">
          <w:pPr>
            <w:pStyle w:val="TM3"/>
            <w:tabs>
              <w:tab w:val="right" w:leader="dot" w:pos="9016"/>
            </w:tabs>
            <w:rPr>
              <w:rFonts w:eastAsiaTheme="minorEastAsia"/>
              <w:noProof/>
              <w:lang w:eastAsia="fr-FR"/>
            </w:rPr>
          </w:pPr>
          <w:hyperlink w:anchor="_Toc94482069" w:history="1">
            <w:r w:rsidR="00DF46EC" w:rsidRPr="00DC2D41">
              <w:rPr>
                <w:rStyle w:val="Lienhypertexte"/>
                <w:rFonts w:ascii="Bernard MT Condensed" w:hAnsi="Bernard MT Condensed"/>
                <w:noProof/>
              </w:rPr>
              <w:t>I.4.2 - Santé et Nutrition</w:t>
            </w:r>
            <w:r w:rsidR="00DF46EC">
              <w:rPr>
                <w:noProof/>
                <w:webHidden/>
              </w:rPr>
              <w:tab/>
            </w:r>
            <w:r w:rsidR="00DF46EC">
              <w:rPr>
                <w:noProof/>
                <w:webHidden/>
              </w:rPr>
              <w:fldChar w:fldCharType="begin"/>
            </w:r>
            <w:r w:rsidR="00DF46EC">
              <w:rPr>
                <w:noProof/>
                <w:webHidden/>
              </w:rPr>
              <w:instrText xml:space="preserve"> PAGEREF _Toc94482069 \h </w:instrText>
            </w:r>
            <w:r w:rsidR="00DF46EC">
              <w:rPr>
                <w:noProof/>
                <w:webHidden/>
              </w:rPr>
            </w:r>
            <w:r w:rsidR="00DF46EC">
              <w:rPr>
                <w:noProof/>
                <w:webHidden/>
              </w:rPr>
              <w:fldChar w:fldCharType="separate"/>
            </w:r>
            <w:r w:rsidR="00A16CFC">
              <w:rPr>
                <w:noProof/>
                <w:webHidden/>
              </w:rPr>
              <w:t>44</w:t>
            </w:r>
            <w:r w:rsidR="00DF46EC">
              <w:rPr>
                <w:noProof/>
                <w:webHidden/>
              </w:rPr>
              <w:fldChar w:fldCharType="end"/>
            </w:r>
          </w:hyperlink>
        </w:p>
        <w:p w14:paraId="0C6D800C" w14:textId="77777777" w:rsidR="00DF46EC" w:rsidRDefault="00E02FE2">
          <w:pPr>
            <w:pStyle w:val="TM3"/>
            <w:tabs>
              <w:tab w:val="right" w:leader="dot" w:pos="9016"/>
            </w:tabs>
            <w:rPr>
              <w:rFonts w:eastAsiaTheme="minorEastAsia"/>
              <w:noProof/>
              <w:lang w:eastAsia="fr-FR"/>
            </w:rPr>
          </w:pPr>
          <w:hyperlink w:anchor="_Toc94482070" w:history="1">
            <w:r w:rsidR="00DF46EC" w:rsidRPr="00DC2D41">
              <w:rPr>
                <w:rStyle w:val="Lienhypertexte"/>
                <w:rFonts w:ascii="Bernard MT Condensed" w:hAnsi="Bernard MT Condensed"/>
                <w:noProof/>
              </w:rPr>
              <w:t>I.4.3 - Eau, Hygiène et Assainissement</w:t>
            </w:r>
            <w:r w:rsidR="00DF46EC">
              <w:rPr>
                <w:noProof/>
                <w:webHidden/>
              </w:rPr>
              <w:tab/>
            </w:r>
            <w:r w:rsidR="00DF46EC">
              <w:rPr>
                <w:noProof/>
                <w:webHidden/>
              </w:rPr>
              <w:fldChar w:fldCharType="begin"/>
            </w:r>
            <w:r w:rsidR="00DF46EC">
              <w:rPr>
                <w:noProof/>
                <w:webHidden/>
              </w:rPr>
              <w:instrText xml:space="preserve"> PAGEREF _Toc94482070 \h </w:instrText>
            </w:r>
            <w:r w:rsidR="00DF46EC">
              <w:rPr>
                <w:noProof/>
                <w:webHidden/>
              </w:rPr>
            </w:r>
            <w:r w:rsidR="00DF46EC">
              <w:rPr>
                <w:noProof/>
                <w:webHidden/>
              </w:rPr>
              <w:fldChar w:fldCharType="separate"/>
            </w:r>
            <w:r w:rsidR="00A16CFC">
              <w:rPr>
                <w:noProof/>
                <w:webHidden/>
              </w:rPr>
              <w:t>48</w:t>
            </w:r>
            <w:r w:rsidR="00DF46EC">
              <w:rPr>
                <w:noProof/>
                <w:webHidden/>
              </w:rPr>
              <w:fldChar w:fldCharType="end"/>
            </w:r>
          </w:hyperlink>
        </w:p>
        <w:p w14:paraId="5FD609F3" w14:textId="77777777" w:rsidR="00DF46EC" w:rsidRDefault="00E02FE2">
          <w:pPr>
            <w:pStyle w:val="TM3"/>
            <w:tabs>
              <w:tab w:val="right" w:leader="dot" w:pos="9016"/>
            </w:tabs>
            <w:rPr>
              <w:rFonts w:eastAsiaTheme="minorEastAsia"/>
              <w:noProof/>
              <w:lang w:eastAsia="fr-FR"/>
            </w:rPr>
          </w:pPr>
          <w:hyperlink w:anchor="_Toc94482071" w:history="1">
            <w:r w:rsidR="00DF46EC" w:rsidRPr="00DC2D41">
              <w:rPr>
                <w:rStyle w:val="Lienhypertexte"/>
                <w:rFonts w:ascii="Bernard MT Condensed" w:hAnsi="Bernard MT Condensed"/>
                <w:noProof/>
              </w:rPr>
              <w:t>I.4.4 - Education et formation professionnelle</w:t>
            </w:r>
            <w:r w:rsidR="00DF46EC">
              <w:rPr>
                <w:noProof/>
                <w:webHidden/>
              </w:rPr>
              <w:tab/>
            </w:r>
            <w:r w:rsidR="00DF46EC">
              <w:rPr>
                <w:noProof/>
                <w:webHidden/>
              </w:rPr>
              <w:fldChar w:fldCharType="begin"/>
            </w:r>
            <w:r w:rsidR="00DF46EC">
              <w:rPr>
                <w:noProof/>
                <w:webHidden/>
              </w:rPr>
              <w:instrText xml:space="preserve"> PAGEREF _Toc94482071 \h </w:instrText>
            </w:r>
            <w:r w:rsidR="00DF46EC">
              <w:rPr>
                <w:noProof/>
                <w:webHidden/>
              </w:rPr>
            </w:r>
            <w:r w:rsidR="00DF46EC">
              <w:rPr>
                <w:noProof/>
                <w:webHidden/>
              </w:rPr>
              <w:fldChar w:fldCharType="separate"/>
            </w:r>
            <w:r w:rsidR="00A16CFC">
              <w:rPr>
                <w:noProof/>
                <w:webHidden/>
              </w:rPr>
              <w:t>50</w:t>
            </w:r>
            <w:r w:rsidR="00DF46EC">
              <w:rPr>
                <w:noProof/>
                <w:webHidden/>
              </w:rPr>
              <w:fldChar w:fldCharType="end"/>
            </w:r>
          </w:hyperlink>
        </w:p>
        <w:p w14:paraId="314894F5" w14:textId="77777777" w:rsidR="00DF46EC" w:rsidRDefault="00E02FE2">
          <w:pPr>
            <w:pStyle w:val="TM3"/>
            <w:tabs>
              <w:tab w:val="right" w:leader="dot" w:pos="9016"/>
            </w:tabs>
            <w:rPr>
              <w:rFonts w:eastAsiaTheme="minorEastAsia"/>
              <w:noProof/>
              <w:lang w:eastAsia="fr-FR"/>
            </w:rPr>
          </w:pPr>
          <w:hyperlink w:anchor="_Toc94482072" w:history="1">
            <w:r w:rsidR="00DF46EC" w:rsidRPr="00DC2D41">
              <w:rPr>
                <w:rStyle w:val="Lienhypertexte"/>
                <w:rFonts w:ascii="Bernard MT Condensed" w:hAnsi="Bernard MT Condensed"/>
                <w:noProof/>
              </w:rPr>
              <w:t>I.4.5 - Emploi et protection sociale</w:t>
            </w:r>
            <w:r w:rsidR="00DF46EC">
              <w:rPr>
                <w:noProof/>
                <w:webHidden/>
              </w:rPr>
              <w:tab/>
            </w:r>
            <w:r w:rsidR="00DF46EC">
              <w:rPr>
                <w:noProof/>
                <w:webHidden/>
              </w:rPr>
              <w:fldChar w:fldCharType="begin"/>
            </w:r>
            <w:r w:rsidR="00DF46EC">
              <w:rPr>
                <w:noProof/>
                <w:webHidden/>
              </w:rPr>
              <w:instrText xml:space="preserve"> PAGEREF _Toc94482072 \h </w:instrText>
            </w:r>
            <w:r w:rsidR="00DF46EC">
              <w:rPr>
                <w:noProof/>
                <w:webHidden/>
              </w:rPr>
            </w:r>
            <w:r w:rsidR="00DF46EC">
              <w:rPr>
                <w:noProof/>
                <w:webHidden/>
              </w:rPr>
              <w:fldChar w:fldCharType="separate"/>
            </w:r>
            <w:r w:rsidR="00A16CFC">
              <w:rPr>
                <w:noProof/>
                <w:webHidden/>
              </w:rPr>
              <w:t>52</w:t>
            </w:r>
            <w:r w:rsidR="00DF46EC">
              <w:rPr>
                <w:noProof/>
                <w:webHidden/>
              </w:rPr>
              <w:fldChar w:fldCharType="end"/>
            </w:r>
          </w:hyperlink>
        </w:p>
        <w:p w14:paraId="48874123" w14:textId="77777777" w:rsidR="00DF46EC" w:rsidRDefault="00E02FE2">
          <w:pPr>
            <w:pStyle w:val="TM3"/>
            <w:tabs>
              <w:tab w:val="right" w:leader="dot" w:pos="9016"/>
            </w:tabs>
            <w:rPr>
              <w:rFonts w:eastAsiaTheme="minorEastAsia"/>
              <w:noProof/>
              <w:lang w:eastAsia="fr-FR"/>
            </w:rPr>
          </w:pPr>
          <w:hyperlink w:anchor="_Toc94482073" w:history="1">
            <w:r w:rsidR="00DF46EC" w:rsidRPr="00DC2D41">
              <w:rPr>
                <w:rStyle w:val="Lienhypertexte"/>
                <w:rFonts w:ascii="Bernard MT Condensed" w:hAnsi="Bernard MT Condensed"/>
                <w:noProof/>
              </w:rPr>
              <w:t>I.4.6 - Développement social</w:t>
            </w:r>
            <w:r w:rsidR="00DF46EC">
              <w:rPr>
                <w:noProof/>
                <w:webHidden/>
              </w:rPr>
              <w:tab/>
            </w:r>
            <w:r w:rsidR="00DF46EC">
              <w:rPr>
                <w:noProof/>
                <w:webHidden/>
              </w:rPr>
              <w:fldChar w:fldCharType="begin"/>
            </w:r>
            <w:r w:rsidR="00DF46EC">
              <w:rPr>
                <w:noProof/>
                <w:webHidden/>
              </w:rPr>
              <w:instrText xml:space="preserve"> PAGEREF _Toc94482073 \h </w:instrText>
            </w:r>
            <w:r w:rsidR="00DF46EC">
              <w:rPr>
                <w:noProof/>
                <w:webHidden/>
              </w:rPr>
            </w:r>
            <w:r w:rsidR="00DF46EC">
              <w:rPr>
                <w:noProof/>
                <w:webHidden/>
              </w:rPr>
              <w:fldChar w:fldCharType="separate"/>
            </w:r>
            <w:r w:rsidR="00A16CFC">
              <w:rPr>
                <w:noProof/>
                <w:webHidden/>
              </w:rPr>
              <w:t>53</w:t>
            </w:r>
            <w:r w:rsidR="00DF46EC">
              <w:rPr>
                <w:noProof/>
                <w:webHidden/>
              </w:rPr>
              <w:fldChar w:fldCharType="end"/>
            </w:r>
          </w:hyperlink>
        </w:p>
        <w:p w14:paraId="07DAB628" w14:textId="77777777" w:rsidR="00DF46EC" w:rsidRDefault="00E02FE2">
          <w:pPr>
            <w:pStyle w:val="TM2"/>
            <w:tabs>
              <w:tab w:val="right" w:leader="dot" w:pos="9016"/>
            </w:tabs>
            <w:rPr>
              <w:rFonts w:eastAsiaTheme="minorEastAsia"/>
              <w:noProof/>
              <w:lang w:eastAsia="fr-FR"/>
            </w:rPr>
          </w:pPr>
          <w:hyperlink w:anchor="_Toc94482074" w:history="1">
            <w:r w:rsidR="00DF46EC" w:rsidRPr="00DC2D41">
              <w:rPr>
                <w:rStyle w:val="Lienhypertexte"/>
                <w:rFonts w:ascii="Bernard MT Condensed" w:hAnsi="Bernard MT Condensed"/>
                <w:noProof/>
              </w:rPr>
              <w:t>I.5 - Etat des lieux sur la Situation humanitaire</w:t>
            </w:r>
            <w:r w:rsidR="00DF46EC">
              <w:rPr>
                <w:noProof/>
                <w:webHidden/>
              </w:rPr>
              <w:tab/>
            </w:r>
            <w:r w:rsidR="00DF46EC">
              <w:rPr>
                <w:noProof/>
                <w:webHidden/>
              </w:rPr>
              <w:fldChar w:fldCharType="begin"/>
            </w:r>
            <w:r w:rsidR="00DF46EC">
              <w:rPr>
                <w:noProof/>
                <w:webHidden/>
              </w:rPr>
              <w:instrText xml:space="preserve"> PAGEREF _Toc94482074 \h </w:instrText>
            </w:r>
            <w:r w:rsidR="00DF46EC">
              <w:rPr>
                <w:noProof/>
                <w:webHidden/>
              </w:rPr>
            </w:r>
            <w:r w:rsidR="00DF46EC">
              <w:rPr>
                <w:noProof/>
                <w:webHidden/>
              </w:rPr>
              <w:fldChar w:fldCharType="separate"/>
            </w:r>
            <w:r w:rsidR="00A16CFC">
              <w:rPr>
                <w:noProof/>
                <w:webHidden/>
              </w:rPr>
              <w:t>56</w:t>
            </w:r>
            <w:r w:rsidR="00DF46EC">
              <w:rPr>
                <w:noProof/>
                <w:webHidden/>
              </w:rPr>
              <w:fldChar w:fldCharType="end"/>
            </w:r>
          </w:hyperlink>
        </w:p>
        <w:p w14:paraId="6C8AD939" w14:textId="77777777" w:rsidR="00DF46EC" w:rsidRDefault="00E02FE2">
          <w:pPr>
            <w:pStyle w:val="TM2"/>
            <w:tabs>
              <w:tab w:val="right" w:leader="dot" w:pos="9016"/>
            </w:tabs>
            <w:rPr>
              <w:rFonts w:eastAsiaTheme="minorEastAsia"/>
              <w:noProof/>
              <w:lang w:eastAsia="fr-FR"/>
            </w:rPr>
          </w:pPr>
          <w:hyperlink w:anchor="_Toc94482075" w:history="1">
            <w:r w:rsidR="00DF46EC" w:rsidRPr="00DC2D41">
              <w:rPr>
                <w:rStyle w:val="Lienhypertexte"/>
                <w:rFonts w:ascii="Bernard MT Condensed" w:hAnsi="Bernard MT Condensed"/>
                <w:noProof/>
              </w:rPr>
              <w:t>I.6 - Etat des lieux de la modernisation du monde rural et le changement climatique</w:t>
            </w:r>
            <w:r w:rsidR="00DF46EC">
              <w:rPr>
                <w:noProof/>
                <w:webHidden/>
              </w:rPr>
              <w:tab/>
            </w:r>
            <w:r w:rsidR="00DF46EC">
              <w:rPr>
                <w:noProof/>
                <w:webHidden/>
              </w:rPr>
              <w:fldChar w:fldCharType="begin"/>
            </w:r>
            <w:r w:rsidR="00DF46EC">
              <w:rPr>
                <w:noProof/>
                <w:webHidden/>
              </w:rPr>
              <w:instrText xml:space="preserve"> PAGEREF _Toc94482075 \h </w:instrText>
            </w:r>
            <w:r w:rsidR="00DF46EC">
              <w:rPr>
                <w:noProof/>
                <w:webHidden/>
              </w:rPr>
            </w:r>
            <w:r w:rsidR="00DF46EC">
              <w:rPr>
                <w:noProof/>
                <w:webHidden/>
              </w:rPr>
              <w:fldChar w:fldCharType="separate"/>
            </w:r>
            <w:r w:rsidR="00A16CFC">
              <w:rPr>
                <w:noProof/>
                <w:webHidden/>
              </w:rPr>
              <w:t>63</w:t>
            </w:r>
            <w:r w:rsidR="00DF46EC">
              <w:rPr>
                <w:noProof/>
                <w:webHidden/>
              </w:rPr>
              <w:fldChar w:fldCharType="end"/>
            </w:r>
          </w:hyperlink>
        </w:p>
        <w:p w14:paraId="25BC3E7E" w14:textId="77777777" w:rsidR="00DF46EC" w:rsidRDefault="00E02FE2">
          <w:pPr>
            <w:pStyle w:val="TM3"/>
            <w:tabs>
              <w:tab w:val="right" w:leader="dot" w:pos="9016"/>
            </w:tabs>
            <w:rPr>
              <w:rFonts w:eastAsiaTheme="minorEastAsia"/>
              <w:noProof/>
              <w:lang w:eastAsia="fr-FR"/>
            </w:rPr>
          </w:pPr>
          <w:hyperlink w:anchor="_Toc94482076" w:history="1">
            <w:r w:rsidR="00DF46EC" w:rsidRPr="00DC2D41">
              <w:rPr>
                <w:rStyle w:val="Lienhypertexte"/>
                <w:rFonts w:ascii="Bernard MT Condensed" w:hAnsi="Bernard MT Condensed"/>
                <w:noProof/>
              </w:rPr>
              <w:t>I.6.1 - Système alimentaire, sécurité alimentaire, nutritionnelle et résilience</w:t>
            </w:r>
            <w:r w:rsidR="00DF46EC">
              <w:rPr>
                <w:noProof/>
                <w:webHidden/>
              </w:rPr>
              <w:tab/>
            </w:r>
            <w:r w:rsidR="00DF46EC">
              <w:rPr>
                <w:noProof/>
                <w:webHidden/>
              </w:rPr>
              <w:fldChar w:fldCharType="begin"/>
            </w:r>
            <w:r w:rsidR="00DF46EC">
              <w:rPr>
                <w:noProof/>
                <w:webHidden/>
              </w:rPr>
              <w:instrText xml:space="preserve"> PAGEREF _Toc94482076 \h </w:instrText>
            </w:r>
            <w:r w:rsidR="00DF46EC">
              <w:rPr>
                <w:noProof/>
                <w:webHidden/>
              </w:rPr>
            </w:r>
            <w:r w:rsidR="00DF46EC">
              <w:rPr>
                <w:noProof/>
                <w:webHidden/>
              </w:rPr>
              <w:fldChar w:fldCharType="separate"/>
            </w:r>
            <w:r w:rsidR="00A16CFC">
              <w:rPr>
                <w:noProof/>
                <w:webHidden/>
              </w:rPr>
              <w:t>63</w:t>
            </w:r>
            <w:r w:rsidR="00DF46EC">
              <w:rPr>
                <w:noProof/>
                <w:webHidden/>
              </w:rPr>
              <w:fldChar w:fldCharType="end"/>
            </w:r>
          </w:hyperlink>
        </w:p>
        <w:p w14:paraId="41B63912" w14:textId="77777777" w:rsidR="00DF46EC" w:rsidRDefault="00E02FE2">
          <w:pPr>
            <w:pStyle w:val="TM3"/>
            <w:tabs>
              <w:tab w:val="left" w:pos="880"/>
              <w:tab w:val="right" w:leader="dot" w:pos="9016"/>
            </w:tabs>
            <w:rPr>
              <w:rFonts w:eastAsiaTheme="minorEastAsia"/>
              <w:noProof/>
              <w:lang w:eastAsia="fr-FR"/>
            </w:rPr>
          </w:pPr>
          <w:hyperlink w:anchor="_Toc94482077" w:history="1">
            <w:r w:rsidR="00DF46EC" w:rsidRPr="00DC2D41">
              <w:rPr>
                <w:rStyle w:val="Lienhypertexte"/>
                <w:rFonts w:ascii="Wingdings" w:hAnsi="Wingdings" w:cs="Times New Roman"/>
                <w:noProof/>
              </w:rPr>
              <w:t></w:t>
            </w:r>
            <w:r w:rsidR="00DF46EC">
              <w:rPr>
                <w:rFonts w:eastAsiaTheme="minorEastAsia"/>
                <w:noProof/>
                <w:lang w:eastAsia="fr-FR"/>
              </w:rPr>
              <w:tab/>
            </w:r>
            <w:r w:rsidR="00DF46EC" w:rsidRPr="00DC2D41">
              <w:rPr>
                <w:rStyle w:val="Lienhypertexte"/>
                <w:rFonts w:ascii="Times New Roman" w:hAnsi="Times New Roman" w:cs="Times New Roman"/>
                <w:b/>
                <w:i/>
                <w:noProof/>
              </w:rPr>
              <w:t>Systèmes alimentaires fragiles et Insuffisance des productions agro-sylvo-pastorales et halieutiques</w:t>
            </w:r>
            <w:r w:rsidR="00DF46EC">
              <w:rPr>
                <w:noProof/>
                <w:webHidden/>
              </w:rPr>
              <w:tab/>
            </w:r>
            <w:r w:rsidR="00DF46EC">
              <w:rPr>
                <w:noProof/>
                <w:webHidden/>
              </w:rPr>
              <w:fldChar w:fldCharType="begin"/>
            </w:r>
            <w:r w:rsidR="00DF46EC">
              <w:rPr>
                <w:noProof/>
                <w:webHidden/>
              </w:rPr>
              <w:instrText xml:space="preserve"> PAGEREF _Toc94482077 \h </w:instrText>
            </w:r>
            <w:r w:rsidR="00DF46EC">
              <w:rPr>
                <w:noProof/>
                <w:webHidden/>
              </w:rPr>
            </w:r>
            <w:r w:rsidR="00DF46EC">
              <w:rPr>
                <w:noProof/>
                <w:webHidden/>
              </w:rPr>
              <w:fldChar w:fldCharType="separate"/>
            </w:r>
            <w:r w:rsidR="00A16CFC">
              <w:rPr>
                <w:noProof/>
                <w:webHidden/>
              </w:rPr>
              <w:t>64</w:t>
            </w:r>
            <w:r w:rsidR="00DF46EC">
              <w:rPr>
                <w:noProof/>
                <w:webHidden/>
              </w:rPr>
              <w:fldChar w:fldCharType="end"/>
            </w:r>
          </w:hyperlink>
        </w:p>
        <w:p w14:paraId="06B84474" w14:textId="77777777" w:rsidR="00DF46EC" w:rsidRDefault="00E02FE2">
          <w:pPr>
            <w:pStyle w:val="TM3"/>
            <w:tabs>
              <w:tab w:val="left" w:pos="880"/>
              <w:tab w:val="right" w:leader="dot" w:pos="9016"/>
            </w:tabs>
            <w:rPr>
              <w:rFonts w:eastAsiaTheme="minorEastAsia"/>
              <w:noProof/>
              <w:lang w:eastAsia="fr-FR"/>
            </w:rPr>
          </w:pPr>
          <w:hyperlink w:anchor="_Toc94482078" w:history="1">
            <w:r w:rsidR="00DF46EC" w:rsidRPr="00DC2D41">
              <w:rPr>
                <w:rStyle w:val="Lienhypertexte"/>
                <w:rFonts w:ascii="Wingdings" w:hAnsi="Wingdings" w:cs="Times New Roman"/>
                <w:noProof/>
              </w:rPr>
              <w:t></w:t>
            </w:r>
            <w:r w:rsidR="00DF46EC">
              <w:rPr>
                <w:rFonts w:eastAsiaTheme="minorEastAsia"/>
                <w:noProof/>
                <w:lang w:eastAsia="fr-FR"/>
              </w:rPr>
              <w:tab/>
            </w:r>
            <w:r w:rsidR="00DF46EC" w:rsidRPr="00DC2D41">
              <w:rPr>
                <w:rStyle w:val="Lienhypertexte"/>
                <w:rFonts w:ascii="Times New Roman" w:hAnsi="Times New Roman" w:cs="Times New Roman"/>
                <w:b/>
                <w:i/>
                <w:noProof/>
              </w:rPr>
              <w:t>Faible diversité alimentaire</w:t>
            </w:r>
            <w:r w:rsidR="00DF46EC">
              <w:rPr>
                <w:noProof/>
                <w:webHidden/>
              </w:rPr>
              <w:tab/>
            </w:r>
            <w:r w:rsidR="00DF46EC">
              <w:rPr>
                <w:noProof/>
                <w:webHidden/>
              </w:rPr>
              <w:fldChar w:fldCharType="begin"/>
            </w:r>
            <w:r w:rsidR="00DF46EC">
              <w:rPr>
                <w:noProof/>
                <w:webHidden/>
              </w:rPr>
              <w:instrText xml:space="preserve"> PAGEREF _Toc94482078 \h </w:instrText>
            </w:r>
            <w:r w:rsidR="00DF46EC">
              <w:rPr>
                <w:noProof/>
                <w:webHidden/>
              </w:rPr>
            </w:r>
            <w:r w:rsidR="00DF46EC">
              <w:rPr>
                <w:noProof/>
                <w:webHidden/>
              </w:rPr>
              <w:fldChar w:fldCharType="separate"/>
            </w:r>
            <w:r w:rsidR="00A16CFC">
              <w:rPr>
                <w:noProof/>
                <w:webHidden/>
              </w:rPr>
              <w:t>64</w:t>
            </w:r>
            <w:r w:rsidR="00DF46EC">
              <w:rPr>
                <w:noProof/>
                <w:webHidden/>
              </w:rPr>
              <w:fldChar w:fldCharType="end"/>
            </w:r>
          </w:hyperlink>
        </w:p>
        <w:p w14:paraId="6626D29B" w14:textId="77777777" w:rsidR="00DF46EC" w:rsidRDefault="00E02FE2">
          <w:pPr>
            <w:pStyle w:val="TM3"/>
            <w:tabs>
              <w:tab w:val="left" w:pos="880"/>
              <w:tab w:val="right" w:leader="dot" w:pos="9016"/>
            </w:tabs>
            <w:rPr>
              <w:rFonts w:eastAsiaTheme="minorEastAsia"/>
              <w:noProof/>
              <w:lang w:eastAsia="fr-FR"/>
            </w:rPr>
          </w:pPr>
          <w:hyperlink w:anchor="_Toc94482079" w:history="1">
            <w:r w:rsidR="00DF46EC" w:rsidRPr="00DC2D41">
              <w:rPr>
                <w:rStyle w:val="Lienhypertexte"/>
                <w:rFonts w:ascii="Wingdings" w:hAnsi="Wingdings" w:cs="Times New Roman"/>
                <w:noProof/>
              </w:rPr>
              <w:t></w:t>
            </w:r>
            <w:r w:rsidR="00DF46EC">
              <w:rPr>
                <w:rFonts w:eastAsiaTheme="minorEastAsia"/>
                <w:noProof/>
                <w:lang w:eastAsia="fr-FR"/>
              </w:rPr>
              <w:tab/>
            </w:r>
            <w:r w:rsidR="00DF46EC" w:rsidRPr="00DC2D41">
              <w:rPr>
                <w:rStyle w:val="Lienhypertexte"/>
                <w:rFonts w:ascii="Times New Roman" w:hAnsi="Times New Roman" w:cs="Times New Roman"/>
                <w:b/>
                <w:i/>
                <w:noProof/>
              </w:rPr>
              <w:t>Faible accès aux soins, hygiène, assainissement et pratique de l’allaitement maternel</w:t>
            </w:r>
            <w:r w:rsidR="00DF46EC">
              <w:rPr>
                <w:noProof/>
                <w:webHidden/>
              </w:rPr>
              <w:tab/>
            </w:r>
            <w:r w:rsidR="00DF46EC">
              <w:rPr>
                <w:noProof/>
                <w:webHidden/>
              </w:rPr>
              <w:fldChar w:fldCharType="begin"/>
            </w:r>
            <w:r w:rsidR="00DF46EC">
              <w:rPr>
                <w:noProof/>
                <w:webHidden/>
              </w:rPr>
              <w:instrText xml:space="preserve"> PAGEREF _Toc94482079 \h </w:instrText>
            </w:r>
            <w:r w:rsidR="00DF46EC">
              <w:rPr>
                <w:noProof/>
                <w:webHidden/>
              </w:rPr>
            </w:r>
            <w:r w:rsidR="00DF46EC">
              <w:rPr>
                <w:noProof/>
                <w:webHidden/>
              </w:rPr>
              <w:fldChar w:fldCharType="separate"/>
            </w:r>
            <w:r w:rsidR="00A16CFC">
              <w:rPr>
                <w:noProof/>
                <w:webHidden/>
              </w:rPr>
              <w:t>65</w:t>
            </w:r>
            <w:r w:rsidR="00DF46EC">
              <w:rPr>
                <w:noProof/>
                <w:webHidden/>
              </w:rPr>
              <w:fldChar w:fldCharType="end"/>
            </w:r>
          </w:hyperlink>
        </w:p>
        <w:p w14:paraId="7A6A748C" w14:textId="77777777" w:rsidR="00DF46EC" w:rsidRDefault="00E02FE2">
          <w:pPr>
            <w:pStyle w:val="TM3"/>
            <w:tabs>
              <w:tab w:val="left" w:pos="880"/>
              <w:tab w:val="right" w:leader="dot" w:pos="9016"/>
            </w:tabs>
            <w:rPr>
              <w:rFonts w:eastAsiaTheme="minorEastAsia"/>
              <w:noProof/>
              <w:lang w:eastAsia="fr-FR"/>
            </w:rPr>
          </w:pPr>
          <w:hyperlink w:anchor="_Toc94482080" w:history="1">
            <w:r w:rsidR="00DF46EC" w:rsidRPr="00DC2D41">
              <w:rPr>
                <w:rStyle w:val="Lienhypertexte"/>
                <w:rFonts w:ascii="Wingdings" w:hAnsi="Wingdings" w:cs="Times New Roman"/>
                <w:noProof/>
              </w:rPr>
              <w:t></w:t>
            </w:r>
            <w:r w:rsidR="00DF46EC">
              <w:rPr>
                <w:rFonts w:eastAsiaTheme="minorEastAsia"/>
                <w:noProof/>
                <w:lang w:eastAsia="fr-FR"/>
              </w:rPr>
              <w:tab/>
            </w:r>
            <w:r w:rsidR="00DF46EC" w:rsidRPr="00DC2D41">
              <w:rPr>
                <w:rStyle w:val="Lienhypertexte"/>
                <w:rFonts w:ascii="Times New Roman" w:hAnsi="Times New Roman" w:cs="Times New Roman"/>
                <w:b/>
                <w:i/>
                <w:noProof/>
              </w:rPr>
              <w:t>Faible accès au marché et aux produits de première nécessité</w:t>
            </w:r>
            <w:r w:rsidR="00DF46EC">
              <w:rPr>
                <w:noProof/>
                <w:webHidden/>
              </w:rPr>
              <w:tab/>
            </w:r>
            <w:r w:rsidR="00DF46EC">
              <w:rPr>
                <w:noProof/>
                <w:webHidden/>
              </w:rPr>
              <w:fldChar w:fldCharType="begin"/>
            </w:r>
            <w:r w:rsidR="00DF46EC">
              <w:rPr>
                <w:noProof/>
                <w:webHidden/>
              </w:rPr>
              <w:instrText xml:space="preserve"> PAGEREF _Toc94482080 \h </w:instrText>
            </w:r>
            <w:r w:rsidR="00DF46EC">
              <w:rPr>
                <w:noProof/>
                <w:webHidden/>
              </w:rPr>
            </w:r>
            <w:r w:rsidR="00DF46EC">
              <w:rPr>
                <w:noProof/>
                <w:webHidden/>
              </w:rPr>
              <w:fldChar w:fldCharType="separate"/>
            </w:r>
            <w:r w:rsidR="00A16CFC">
              <w:rPr>
                <w:noProof/>
                <w:webHidden/>
              </w:rPr>
              <w:t>65</w:t>
            </w:r>
            <w:r w:rsidR="00DF46EC">
              <w:rPr>
                <w:noProof/>
                <w:webHidden/>
              </w:rPr>
              <w:fldChar w:fldCharType="end"/>
            </w:r>
          </w:hyperlink>
        </w:p>
        <w:p w14:paraId="610622CE" w14:textId="77777777" w:rsidR="00DF46EC" w:rsidRDefault="00E02FE2">
          <w:pPr>
            <w:pStyle w:val="TM3"/>
            <w:tabs>
              <w:tab w:val="right" w:leader="dot" w:pos="9016"/>
            </w:tabs>
            <w:rPr>
              <w:rFonts w:eastAsiaTheme="minorEastAsia"/>
              <w:noProof/>
              <w:lang w:eastAsia="fr-FR"/>
            </w:rPr>
          </w:pPr>
          <w:hyperlink w:anchor="_Toc94482081" w:history="1">
            <w:r w:rsidR="00DF46EC" w:rsidRPr="00DC2D41">
              <w:rPr>
                <w:rStyle w:val="Lienhypertexte"/>
                <w:rFonts w:ascii="Bernard MT Condensed" w:hAnsi="Bernard MT Condensed"/>
                <w:noProof/>
              </w:rPr>
              <w:t>I.6.2 - GESTION DES RISQUES ET CATASTROPHES</w:t>
            </w:r>
            <w:r w:rsidR="00DF46EC">
              <w:rPr>
                <w:noProof/>
                <w:webHidden/>
              </w:rPr>
              <w:tab/>
            </w:r>
            <w:r w:rsidR="00DF46EC">
              <w:rPr>
                <w:noProof/>
                <w:webHidden/>
              </w:rPr>
              <w:fldChar w:fldCharType="begin"/>
            </w:r>
            <w:r w:rsidR="00DF46EC">
              <w:rPr>
                <w:noProof/>
                <w:webHidden/>
              </w:rPr>
              <w:instrText xml:space="preserve"> PAGEREF _Toc94482081 \h </w:instrText>
            </w:r>
            <w:r w:rsidR="00DF46EC">
              <w:rPr>
                <w:noProof/>
                <w:webHidden/>
              </w:rPr>
            </w:r>
            <w:r w:rsidR="00DF46EC">
              <w:rPr>
                <w:noProof/>
                <w:webHidden/>
              </w:rPr>
              <w:fldChar w:fldCharType="separate"/>
            </w:r>
            <w:r w:rsidR="00A16CFC">
              <w:rPr>
                <w:noProof/>
                <w:webHidden/>
              </w:rPr>
              <w:t>66</w:t>
            </w:r>
            <w:r w:rsidR="00DF46EC">
              <w:rPr>
                <w:noProof/>
                <w:webHidden/>
              </w:rPr>
              <w:fldChar w:fldCharType="end"/>
            </w:r>
          </w:hyperlink>
        </w:p>
        <w:p w14:paraId="43723418" w14:textId="77777777" w:rsidR="00DF46EC" w:rsidRDefault="00E02FE2">
          <w:pPr>
            <w:pStyle w:val="TM3"/>
            <w:tabs>
              <w:tab w:val="left" w:pos="880"/>
              <w:tab w:val="right" w:leader="dot" w:pos="9016"/>
            </w:tabs>
            <w:rPr>
              <w:rFonts w:eastAsiaTheme="minorEastAsia"/>
              <w:noProof/>
              <w:lang w:eastAsia="fr-FR"/>
            </w:rPr>
          </w:pPr>
          <w:hyperlink w:anchor="_Toc94482082" w:history="1">
            <w:r w:rsidR="00DF46EC" w:rsidRPr="00DC2D41">
              <w:rPr>
                <w:rStyle w:val="Lienhypertexte"/>
                <w:rFonts w:ascii="Wingdings" w:hAnsi="Wingdings" w:cs="Times New Roman"/>
                <w:noProof/>
              </w:rPr>
              <w:t></w:t>
            </w:r>
            <w:r w:rsidR="00DF46EC">
              <w:rPr>
                <w:rFonts w:eastAsiaTheme="minorEastAsia"/>
                <w:noProof/>
                <w:lang w:eastAsia="fr-FR"/>
              </w:rPr>
              <w:tab/>
            </w:r>
            <w:r w:rsidR="00DF46EC" w:rsidRPr="00DC2D41">
              <w:rPr>
                <w:rStyle w:val="Lienhypertexte"/>
                <w:rFonts w:ascii="Times New Roman" w:hAnsi="Times New Roman" w:cs="Times New Roman"/>
                <w:b/>
                <w:i/>
                <w:noProof/>
              </w:rPr>
              <w:t>Insuffisance dans le domaine de la planification</w:t>
            </w:r>
            <w:r w:rsidR="00DF46EC">
              <w:rPr>
                <w:noProof/>
                <w:webHidden/>
              </w:rPr>
              <w:tab/>
            </w:r>
            <w:r w:rsidR="00DF46EC">
              <w:rPr>
                <w:noProof/>
                <w:webHidden/>
              </w:rPr>
              <w:fldChar w:fldCharType="begin"/>
            </w:r>
            <w:r w:rsidR="00DF46EC">
              <w:rPr>
                <w:noProof/>
                <w:webHidden/>
              </w:rPr>
              <w:instrText xml:space="preserve"> PAGEREF _Toc94482082 \h </w:instrText>
            </w:r>
            <w:r w:rsidR="00DF46EC">
              <w:rPr>
                <w:noProof/>
                <w:webHidden/>
              </w:rPr>
            </w:r>
            <w:r w:rsidR="00DF46EC">
              <w:rPr>
                <w:noProof/>
                <w:webHidden/>
              </w:rPr>
              <w:fldChar w:fldCharType="separate"/>
            </w:r>
            <w:r w:rsidR="00A16CFC">
              <w:rPr>
                <w:noProof/>
                <w:webHidden/>
              </w:rPr>
              <w:t>66</w:t>
            </w:r>
            <w:r w:rsidR="00DF46EC">
              <w:rPr>
                <w:noProof/>
                <w:webHidden/>
              </w:rPr>
              <w:fldChar w:fldCharType="end"/>
            </w:r>
          </w:hyperlink>
        </w:p>
        <w:p w14:paraId="0F454ED8" w14:textId="77777777" w:rsidR="00DF46EC" w:rsidRDefault="00E02FE2">
          <w:pPr>
            <w:pStyle w:val="TM3"/>
            <w:tabs>
              <w:tab w:val="left" w:pos="880"/>
              <w:tab w:val="right" w:leader="dot" w:pos="9016"/>
            </w:tabs>
            <w:rPr>
              <w:rFonts w:eastAsiaTheme="minorEastAsia"/>
              <w:noProof/>
              <w:lang w:eastAsia="fr-FR"/>
            </w:rPr>
          </w:pPr>
          <w:hyperlink w:anchor="_Toc94482083" w:history="1">
            <w:r w:rsidR="00DF46EC" w:rsidRPr="00DC2D41">
              <w:rPr>
                <w:rStyle w:val="Lienhypertexte"/>
                <w:rFonts w:ascii="Wingdings" w:hAnsi="Wingdings"/>
                <w:noProof/>
              </w:rPr>
              <w:t></w:t>
            </w:r>
            <w:r w:rsidR="00DF46EC">
              <w:rPr>
                <w:rFonts w:eastAsiaTheme="minorEastAsia"/>
                <w:noProof/>
                <w:lang w:eastAsia="fr-FR"/>
              </w:rPr>
              <w:tab/>
            </w:r>
            <w:r w:rsidR="00DF46EC" w:rsidRPr="00DC2D41">
              <w:rPr>
                <w:rStyle w:val="Lienhypertexte"/>
                <w:rFonts w:ascii="Times New Roman" w:hAnsi="Times New Roman" w:cs="Times New Roman"/>
                <w:b/>
                <w:i/>
                <w:noProof/>
              </w:rPr>
              <w:t>Faible capacité d’adaptation aux Changements Climatiques (CC)</w:t>
            </w:r>
            <w:r w:rsidR="00DF46EC">
              <w:rPr>
                <w:noProof/>
                <w:webHidden/>
              </w:rPr>
              <w:tab/>
            </w:r>
            <w:r w:rsidR="00DF46EC">
              <w:rPr>
                <w:noProof/>
                <w:webHidden/>
              </w:rPr>
              <w:fldChar w:fldCharType="begin"/>
            </w:r>
            <w:r w:rsidR="00DF46EC">
              <w:rPr>
                <w:noProof/>
                <w:webHidden/>
              </w:rPr>
              <w:instrText xml:space="preserve"> PAGEREF _Toc94482083 \h </w:instrText>
            </w:r>
            <w:r w:rsidR="00DF46EC">
              <w:rPr>
                <w:noProof/>
                <w:webHidden/>
              </w:rPr>
            </w:r>
            <w:r w:rsidR="00DF46EC">
              <w:rPr>
                <w:noProof/>
                <w:webHidden/>
              </w:rPr>
              <w:fldChar w:fldCharType="separate"/>
            </w:r>
            <w:r w:rsidR="00A16CFC">
              <w:rPr>
                <w:noProof/>
                <w:webHidden/>
              </w:rPr>
              <w:t>66</w:t>
            </w:r>
            <w:r w:rsidR="00DF46EC">
              <w:rPr>
                <w:noProof/>
                <w:webHidden/>
              </w:rPr>
              <w:fldChar w:fldCharType="end"/>
            </w:r>
          </w:hyperlink>
        </w:p>
        <w:p w14:paraId="70EE6AF0" w14:textId="77777777" w:rsidR="00DF46EC" w:rsidRDefault="00E02FE2">
          <w:pPr>
            <w:pStyle w:val="TM3"/>
            <w:tabs>
              <w:tab w:val="left" w:pos="880"/>
              <w:tab w:val="right" w:leader="dot" w:pos="9016"/>
            </w:tabs>
            <w:rPr>
              <w:rFonts w:eastAsiaTheme="minorEastAsia"/>
              <w:noProof/>
              <w:lang w:eastAsia="fr-FR"/>
            </w:rPr>
          </w:pPr>
          <w:hyperlink w:anchor="_Toc94482084" w:history="1">
            <w:r w:rsidR="00DF46EC" w:rsidRPr="00DC2D41">
              <w:rPr>
                <w:rStyle w:val="Lienhypertexte"/>
                <w:rFonts w:ascii="Wingdings" w:hAnsi="Wingdings" w:cs="Times New Roman"/>
                <w:noProof/>
              </w:rPr>
              <w:t></w:t>
            </w:r>
            <w:r w:rsidR="00DF46EC">
              <w:rPr>
                <w:rFonts w:eastAsiaTheme="minorEastAsia"/>
                <w:noProof/>
                <w:lang w:eastAsia="fr-FR"/>
              </w:rPr>
              <w:tab/>
            </w:r>
            <w:r w:rsidR="00DF46EC" w:rsidRPr="00DC2D41">
              <w:rPr>
                <w:rStyle w:val="Lienhypertexte"/>
                <w:rFonts w:ascii="Times New Roman" w:hAnsi="Times New Roman" w:cs="Times New Roman"/>
                <w:b/>
                <w:i/>
                <w:noProof/>
              </w:rPr>
              <w:t>Diminution et dégradation des terres arables</w:t>
            </w:r>
            <w:r w:rsidR="00DF46EC">
              <w:rPr>
                <w:noProof/>
                <w:webHidden/>
              </w:rPr>
              <w:tab/>
            </w:r>
            <w:r w:rsidR="00DF46EC">
              <w:rPr>
                <w:noProof/>
                <w:webHidden/>
              </w:rPr>
              <w:fldChar w:fldCharType="begin"/>
            </w:r>
            <w:r w:rsidR="00DF46EC">
              <w:rPr>
                <w:noProof/>
                <w:webHidden/>
              </w:rPr>
              <w:instrText xml:space="preserve"> PAGEREF _Toc94482084 \h </w:instrText>
            </w:r>
            <w:r w:rsidR="00DF46EC">
              <w:rPr>
                <w:noProof/>
                <w:webHidden/>
              </w:rPr>
            </w:r>
            <w:r w:rsidR="00DF46EC">
              <w:rPr>
                <w:noProof/>
                <w:webHidden/>
              </w:rPr>
              <w:fldChar w:fldCharType="separate"/>
            </w:r>
            <w:r w:rsidR="00A16CFC">
              <w:rPr>
                <w:noProof/>
                <w:webHidden/>
              </w:rPr>
              <w:t>67</w:t>
            </w:r>
            <w:r w:rsidR="00DF46EC">
              <w:rPr>
                <w:noProof/>
                <w:webHidden/>
              </w:rPr>
              <w:fldChar w:fldCharType="end"/>
            </w:r>
          </w:hyperlink>
        </w:p>
        <w:p w14:paraId="05897B6B" w14:textId="77777777" w:rsidR="00DF46EC" w:rsidRDefault="00E02FE2">
          <w:pPr>
            <w:pStyle w:val="TM3"/>
            <w:tabs>
              <w:tab w:val="left" w:pos="880"/>
              <w:tab w:val="right" w:leader="dot" w:pos="9016"/>
            </w:tabs>
            <w:rPr>
              <w:rFonts w:eastAsiaTheme="minorEastAsia"/>
              <w:noProof/>
              <w:lang w:eastAsia="fr-FR"/>
            </w:rPr>
          </w:pPr>
          <w:hyperlink w:anchor="_Toc94482085" w:history="1">
            <w:r w:rsidR="00DF46EC" w:rsidRPr="00DC2D41">
              <w:rPr>
                <w:rStyle w:val="Lienhypertexte"/>
                <w:rFonts w:ascii="Wingdings" w:hAnsi="Wingdings" w:cs="Times New Roman"/>
                <w:noProof/>
              </w:rPr>
              <w:t></w:t>
            </w:r>
            <w:r w:rsidR="00DF46EC">
              <w:rPr>
                <w:rFonts w:eastAsiaTheme="minorEastAsia"/>
                <w:noProof/>
                <w:lang w:eastAsia="fr-FR"/>
              </w:rPr>
              <w:tab/>
            </w:r>
            <w:r w:rsidR="00DF46EC" w:rsidRPr="00DC2D41">
              <w:rPr>
                <w:rStyle w:val="Lienhypertexte"/>
                <w:rFonts w:ascii="Times New Roman" w:hAnsi="Times New Roman" w:cs="Times New Roman"/>
                <w:b/>
                <w:i/>
                <w:noProof/>
              </w:rPr>
              <w:t>Insuffisance des réseaux d’ouvrages et de leur entretien</w:t>
            </w:r>
            <w:r w:rsidR="00DF46EC">
              <w:rPr>
                <w:noProof/>
                <w:webHidden/>
              </w:rPr>
              <w:tab/>
            </w:r>
            <w:r w:rsidR="00DF46EC">
              <w:rPr>
                <w:noProof/>
                <w:webHidden/>
              </w:rPr>
              <w:fldChar w:fldCharType="begin"/>
            </w:r>
            <w:r w:rsidR="00DF46EC">
              <w:rPr>
                <w:noProof/>
                <w:webHidden/>
              </w:rPr>
              <w:instrText xml:space="preserve"> PAGEREF _Toc94482085 \h </w:instrText>
            </w:r>
            <w:r w:rsidR="00DF46EC">
              <w:rPr>
                <w:noProof/>
                <w:webHidden/>
              </w:rPr>
            </w:r>
            <w:r w:rsidR="00DF46EC">
              <w:rPr>
                <w:noProof/>
                <w:webHidden/>
              </w:rPr>
              <w:fldChar w:fldCharType="separate"/>
            </w:r>
            <w:r w:rsidR="00A16CFC">
              <w:rPr>
                <w:noProof/>
                <w:webHidden/>
              </w:rPr>
              <w:t>67</w:t>
            </w:r>
            <w:r w:rsidR="00DF46EC">
              <w:rPr>
                <w:noProof/>
                <w:webHidden/>
              </w:rPr>
              <w:fldChar w:fldCharType="end"/>
            </w:r>
          </w:hyperlink>
        </w:p>
        <w:p w14:paraId="06505FA9" w14:textId="77777777" w:rsidR="00DF46EC" w:rsidRDefault="00E02FE2">
          <w:pPr>
            <w:pStyle w:val="TM3"/>
            <w:tabs>
              <w:tab w:val="right" w:leader="dot" w:pos="9016"/>
            </w:tabs>
            <w:rPr>
              <w:rFonts w:eastAsiaTheme="minorEastAsia"/>
              <w:noProof/>
              <w:lang w:eastAsia="fr-FR"/>
            </w:rPr>
          </w:pPr>
          <w:hyperlink w:anchor="_Toc94482086" w:history="1">
            <w:r w:rsidR="00DF46EC" w:rsidRPr="00DC2D41">
              <w:rPr>
                <w:rStyle w:val="Lienhypertexte"/>
                <w:rFonts w:ascii="Bernard MT Condensed" w:hAnsi="Bernard MT Condensed"/>
                <w:noProof/>
              </w:rPr>
              <w:t>I.6.3 - GESTION DES RESSOURCES NATURELLES INCLUANT L’ENERGIE</w:t>
            </w:r>
            <w:r w:rsidR="00DF46EC">
              <w:rPr>
                <w:noProof/>
                <w:webHidden/>
              </w:rPr>
              <w:tab/>
            </w:r>
            <w:r w:rsidR="00DF46EC">
              <w:rPr>
                <w:noProof/>
                <w:webHidden/>
              </w:rPr>
              <w:fldChar w:fldCharType="begin"/>
            </w:r>
            <w:r w:rsidR="00DF46EC">
              <w:rPr>
                <w:noProof/>
                <w:webHidden/>
              </w:rPr>
              <w:instrText xml:space="preserve"> PAGEREF _Toc94482086 \h </w:instrText>
            </w:r>
            <w:r w:rsidR="00DF46EC">
              <w:rPr>
                <w:noProof/>
                <w:webHidden/>
              </w:rPr>
            </w:r>
            <w:r w:rsidR="00DF46EC">
              <w:rPr>
                <w:noProof/>
                <w:webHidden/>
              </w:rPr>
              <w:fldChar w:fldCharType="separate"/>
            </w:r>
            <w:r w:rsidR="00A16CFC">
              <w:rPr>
                <w:noProof/>
                <w:webHidden/>
              </w:rPr>
              <w:t>68</w:t>
            </w:r>
            <w:r w:rsidR="00DF46EC">
              <w:rPr>
                <w:noProof/>
                <w:webHidden/>
              </w:rPr>
              <w:fldChar w:fldCharType="end"/>
            </w:r>
          </w:hyperlink>
        </w:p>
        <w:p w14:paraId="54729B2E" w14:textId="77777777" w:rsidR="00DF46EC" w:rsidRDefault="00E02FE2">
          <w:pPr>
            <w:pStyle w:val="TM3"/>
            <w:tabs>
              <w:tab w:val="left" w:pos="880"/>
              <w:tab w:val="right" w:leader="dot" w:pos="9016"/>
            </w:tabs>
            <w:rPr>
              <w:rFonts w:eastAsiaTheme="minorEastAsia"/>
              <w:noProof/>
              <w:lang w:eastAsia="fr-FR"/>
            </w:rPr>
          </w:pPr>
          <w:hyperlink w:anchor="_Toc94482087" w:history="1">
            <w:r w:rsidR="00DF46EC" w:rsidRPr="00DC2D41">
              <w:rPr>
                <w:rStyle w:val="Lienhypertexte"/>
                <w:rFonts w:ascii="Wingdings" w:hAnsi="Wingdings" w:cs="Times New Roman"/>
                <w:noProof/>
              </w:rPr>
              <w:t></w:t>
            </w:r>
            <w:r w:rsidR="00DF46EC">
              <w:rPr>
                <w:rFonts w:eastAsiaTheme="minorEastAsia"/>
                <w:noProof/>
                <w:lang w:eastAsia="fr-FR"/>
              </w:rPr>
              <w:tab/>
            </w:r>
            <w:r w:rsidR="00DF46EC" w:rsidRPr="00DC2D41">
              <w:rPr>
                <w:rStyle w:val="Lienhypertexte"/>
                <w:rFonts w:ascii="Times New Roman" w:hAnsi="Times New Roman" w:cs="Times New Roman"/>
                <w:b/>
                <w:i/>
                <w:noProof/>
              </w:rPr>
              <w:t>Surexploitation des Ressources Naturelles (RN)</w:t>
            </w:r>
            <w:r w:rsidR="00DF46EC">
              <w:rPr>
                <w:noProof/>
                <w:webHidden/>
              </w:rPr>
              <w:tab/>
            </w:r>
            <w:r w:rsidR="00DF46EC">
              <w:rPr>
                <w:noProof/>
                <w:webHidden/>
              </w:rPr>
              <w:fldChar w:fldCharType="begin"/>
            </w:r>
            <w:r w:rsidR="00DF46EC">
              <w:rPr>
                <w:noProof/>
                <w:webHidden/>
              </w:rPr>
              <w:instrText xml:space="preserve"> PAGEREF _Toc94482087 \h </w:instrText>
            </w:r>
            <w:r w:rsidR="00DF46EC">
              <w:rPr>
                <w:noProof/>
                <w:webHidden/>
              </w:rPr>
            </w:r>
            <w:r w:rsidR="00DF46EC">
              <w:rPr>
                <w:noProof/>
                <w:webHidden/>
              </w:rPr>
              <w:fldChar w:fldCharType="separate"/>
            </w:r>
            <w:r w:rsidR="00A16CFC">
              <w:rPr>
                <w:noProof/>
                <w:webHidden/>
              </w:rPr>
              <w:t>68</w:t>
            </w:r>
            <w:r w:rsidR="00DF46EC">
              <w:rPr>
                <w:noProof/>
                <w:webHidden/>
              </w:rPr>
              <w:fldChar w:fldCharType="end"/>
            </w:r>
          </w:hyperlink>
        </w:p>
        <w:p w14:paraId="4BB803CF" w14:textId="77777777" w:rsidR="00DF46EC" w:rsidRDefault="00E02FE2">
          <w:pPr>
            <w:pStyle w:val="TM3"/>
            <w:tabs>
              <w:tab w:val="left" w:pos="880"/>
              <w:tab w:val="right" w:leader="dot" w:pos="9016"/>
            </w:tabs>
            <w:rPr>
              <w:rFonts w:eastAsiaTheme="minorEastAsia"/>
              <w:noProof/>
              <w:lang w:eastAsia="fr-FR"/>
            </w:rPr>
          </w:pPr>
          <w:hyperlink w:anchor="_Toc94482088" w:history="1">
            <w:r w:rsidR="00DF46EC" w:rsidRPr="00DC2D41">
              <w:rPr>
                <w:rStyle w:val="Lienhypertexte"/>
                <w:rFonts w:ascii="Wingdings" w:hAnsi="Wingdings" w:cs="Times New Roman"/>
                <w:noProof/>
              </w:rPr>
              <w:t></w:t>
            </w:r>
            <w:r w:rsidR="00DF46EC">
              <w:rPr>
                <w:rFonts w:eastAsiaTheme="minorEastAsia"/>
                <w:noProof/>
                <w:lang w:eastAsia="fr-FR"/>
              </w:rPr>
              <w:tab/>
            </w:r>
            <w:r w:rsidR="00DF46EC" w:rsidRPr="00DC2D41">
              <w:rPr>
                <w:rStyle w:val="Lienhypertexte"/>
                <w:rFonts w:ascii="Times New Roman" w:hAnsi="Times New Roman" w:cs="Times New Roman"/>
                <w:b/>
                <w:i/>
                <w:noProof/>
              </w:rPr>
              <w:t>Mauvaise utilisation des intrants chimiques</w:t>
            </w:r>
            <w:r w:rsidR="00DF46EC">
              <w:rPr>
                <w:noProof/>
                <w:webHidden/>
              </w:rPr>
              <w:tab/>
            </w:r>
            <w:r w:rsidR="00DF46EC">
              <w:rPr>
                <w:noProof/>
                <w:webHidden/>
              </w:rPr>
              <w:fldChar w:fldCharType="begin"/>
            </w:r>
            <w:r w:rsidR="00DF46EC">
              <w:rPr>
                <w:noProof/>
                <w:webHidden/>
              </w:rPr>
              <w:instrText xml:space="preserve"> PAGEREF _Toc94482088 \h </w:instrText>
            </w:r>
            <w:r w:rsidR="00DF46EC">
              <w:rPr>
                <w:noProof/>
                <w:webHidden/>
              </w:rPr>
            </w:r>
            <w:r w:rsidR="00DF46EC">
              <w:rPr>
                <w:noProof/>
                <w:webHidden/>
              </w:rPr>
              <w:fldChar w:fldCharType="separate"/>
            </w:r>
            <w:r w:rsidR="00A16CFC">
              <w:rPr>
                <w:noProof/>
                <w:webHidden/>
              </w:rPr>
              <w:t>68</w:t>
            </w:r>
            <w:r w:rsidR="00DF46EC">
              <w:rPr>
                <w:noProof/>
                <w:webHidden/>
              </w:rPr>
              <w:fldChar w:fldCharType="end"/>
            </w:r>
          </w:hyperlink>
        </w:p>
        <w:p w14:paraId="6D76FCB4" w14:textId="77777777" w:rsidR="00DF46EC" w:rsidRDefault="00E02FE2">
          <w:pPr>
            <w:pStyle w:val="TM3"/>
            <w:tabs>
              <w:tab w:val="left" w:pos="880"/>
              <w:tab w:val="right" w:leader="dot" w:pos="9016"/>
            </w:tabs>
            <w:rPr>
              <w:rFonts w:eastAsiaTheme="minorEastAsia"/>
              <w:noProof/>
              <w:lang w:eastAsia="fr-FR"/>
            </w:rPr>
          </w:pPr>
          <w:hyperlink w:anchor="_Toc94482089" w:history="1">
            <w:r w:rsidR="00DF46EC" w:rsidRPr="00DC2D41">
              <w:rPr>
                <w:rStyle w:val="Lienhypertexte"/>
                <w:rFonts w:ascii="Wingdings" w:hAnsi="Wingdings" w:cs="Times New Roman"/>
                <w:noProof/>
              </w:rPr>
              <w:t></w:t>
            </w:r>
            <w:r w:rsidR="00DF46EC">
              <w:rPr>
                <w:rFonts w:eastAsiaTheme="minorEastAsia"/>
                <w:noProof/>
                <w:lang w:eastAsia="fr-FR"/>
              </w:rPr>
              <w:tab/>
            </w:r>
            <w:r w:rsidR="00DF46EC" w:rsidRPr="00DC2D41">
              <w:rPr>
                <w:rStyle w:val="Lienhypertexte"/>
                <w:rFonts w:ascii="Times New Roman" w:hAnsi="Times New Roman" w:cs="Times New Roman"/>
                <w:b/>
                <w:i/>
                <w:noProof/>
              </w:rPr>
              <w:t>Récurrence des chocs climatiques (inondation, vent violent, haute températures, sécheresses)</w:t>
            </w:r>
            <w:r w:rsidR="00DF46EC">
              <w:rPr>
                <w:noProof/>
                <w:webHidden/>
              </w:rPr>
              <w:tab/>
            </w:r>
            <w:r w:rsidR="00DF46EC">
              <w:rPr>
                <w:noProof/>
                <w:webHidden/>
              </w:rPr>
              <w:fldChar w:fldCharType="begin"/>
            </w:r>
            <w:r w:rsidR="00DF46EC">
              <w:rPr>
                <w:noProof/>
                <w:webHidden/>
              </w:rPr>
              <w:instrText xml:space="preserve"> PAGEREF _Toc94482089 \h </w:instrText>
            </w:r>
            <w:r w:rsidR="00DF46EC">
              <w:rPr>
                <w:noProof/>
                <w:webHidden/>
              </w:rPr>
            </w:r>
            <w:r w:rsidR="00DF46EC">
              <w:rPr>
                <w:noProof/>
                <w:webHidden/>
              </w:rPr>
              <w:fldChar w:fldCharType="separate"/>
            </w:r>
            <w:r w:rsidR="00A16CFC">
              <w:rPr>
                <w:noProof/>
                <w:webHidden/>
              </w:rPr>
              <w:t>69</w:t>
            </w:r>
            <w:r w:rsidR="00DF46EC">
              <w:rPr>
                <w:noProof/>
                <w:webHidden/>
              </w:rPr>
              <w:fldChar w:fldCharType="end"/>
            </w:r>
          </w:hyperlink>
        </w:p>
        <w:p w14:paraId="08C983CC" w14:textId="77777777" w:rsidR="00DF46EC" w:rsidRDefault="00E02FE2">
          <w:pPr>
            <w:pStyle w:val="TM3"/>
            <w:tabs>
              <w:tab w:val="left" w:pos="880"/>
              <w:tab w:val="right" w:leader="dot" w:pos="9016"/>
            </w:tabs>
            <w:rPr>
              <w:rFonts w:eastAsiaTheme="minorEastAsia"/>
              <w:noProof/>
              <w:lang w:eastAsia="fr-FR"/>
            </w:rPr>
          </w:pPr>
          <w:hyperlink w:anchor="_Toc94482090" w:history="1">
            <w:r w:rsidR="00DF46EC" w:rsidRPr="00DC2D41">
              <w:rPr>
                <w:rStyle w:val="Lienhypertexte"/>
                <w:rFonts w:ascii="Wingdings" w:hAnsi="Wingdings" w:cs="Times New Roman"/>
                <w:noProof/>
              </w:rPr>
              <w:t></w:t>
            </w:r>
            <w:r w:rsidR="00DF46EC">
              <w:rPr>
                <w:rFonts w:eastAsiaTheme="minorEastAsia"/>
                <w:noProof/>
                <w:lang w:eastAsia="fr-FR"/>
              </w:rPr>
              <w:tab/>
            </w:r>
            <w:r w:rsidR="00DF46EC" w:rsidRPr="00DC2D41">
              <w:rPr>
                <w:rStyle w:val="Lienhypertexte"/>
                <w:rFonts w:ascii="Times New Roman" w:hAnsi="Times New Roman" w:cs="Times New Roman"/>
                <w:b/>
                <w:i/>
                <w:noProof/>
              </w:rPr>
              <w:t>Faible taux d’utilisation des énergies de substitution</w:t>
            </w:r>
            <w:r w:rsidR="00DF46EC">
              <w:rPr>
                <w:noProof/>
                <w:webHidden/>
              </w:rPr>
              <w:tab/>
            </w:r>
            <w:r w:rsidR="00DF46EC">
              <w:rPr>
                <w:noProof/>
                <w:webHidden/>
              </w:rPr>
              <w:fldChar w:fldCharType="begin"/>
            </w:r>
            <w:r w:rsidR="00DF46EC">
              <w:rPr>
                <w:noProof/>
                <w:webHidden/>
              </w:rPr>
              <w:instrText xml:space="preserve"> PAGEREF _Toc94482090 \h </w:instrText>
            </w:r>
            <w:r w:rsidR="00DF46EC">
              <w:rPr>
                <w:noProof/>
                <w:webHidden/>
              </w:rPr>
            </w:r>
            <w:r w:rsidR="00DF46EC">
              <w:rPr>
                <w:noProof/>
                <w:webHidden/>
              </w:rPr>
              <w:fldChar w:fldCharType="separate"/>
            </w:r>
            <w:r w:rsidR="00A16CFC">
              <w:rPr>
                <w:noProof/>
                <w:webHidden/>
              </w:rPr>
              <w:t>69</w:t>
            </w:r>
            <w:r w:rsidR="00DF46EC">
              <w:rPr>
                <w:noProof/>
                <w:webHidden/>
              </w:rPr>
              <w:fldChar w:fldCharType="end"/>
            </w:r>
          </w:hyperlink>
        </w:p>
        <w:p w14:paraId="35D1ED12" w14:textId="77777777" w:rsidR="00DF46EC" w:rsidRDefault="00E02FE2">
          <w:pPr>
            <w:pStyle w:val="TM3"/>
            <w:tabs>
              <w:tab w:val="left" w:pos="880"/>
              <w:tab w:val="right" w:leader="dot" w:pos="9016"/>
            </w:tabs>
            <w:rPr>
              <w:rFonts w:eastAsiaTheme="minorEastAsia"/>
              <w:noProof/>
              <w:lang w:eastAsia="fr-FR"/>
            </w:rPr>
          </w:pPr>
          <w:hyperlink w:anchor="_Toc94482091" w:history="1">
            <w:r w:rsidR="00DF46EC" w:rsidRPr="00DC2D41">
              <w:rPr>
                <w:rStyle w:val="Lienhypertexte"/>
                <w:rFonts w:ascii="Wingdings" w:hAnsi="Wingdings" w:cs="Times New Roman"/>
                <w:noProof/>
              </w:rPr>
              <w:t></w:t>
            </w:r>
            <w:r w:rsidR="00DF46EC">
              <w:rPr>
                <w:rFonts w:eastAsiaTheme="minorEastAsia"/>
                <w:noProof/>
                <w:lang w:eastAsia="fr-FR"/>
              </w:rPr>
              <w:tab/>
            </w:r>
            <w:r w:rsidR="00DF46EC" w:rsidRPr="00DC2D41">
              <w:rPr>
                <w:rStyle w:val="Lienhypertexte"/>
                <w:rFonts w:ascii="Times New Roman" w:hAnsi="Times New Roman" w:cs="Times New Roman"/>
                <w:b/>
                <w:i/>
                <w:noProof/>
              </w:rPr>
              <w:t>Récurrence des feux de brousse</w:t>
            </w:r>
            <w:r w:rsidR="00DF46EC">
              <w:rPr>
                <w:noProof/>
                <w:webHidden/>
              </w:rPr>
              <w:tab/>
            </w:r>
            <w:r w:rsidR="00DF46EC">
              <w:rPr>
                <w:noProof/>
                <w:webHidden/>
              </w:rPr>
              <w:fldChar w:fldCharType="begin"/>
            </w:r>
            <w:r w:rsidR="00DF46EC">
              <w:rPr>
                <w:noProof/>
                <w:webHidden/>
              </w:rPr>
              <w:instrText xml:space="preserve"> PAGEREF _Toc94482091 \h </w:instrText>
            </w:r>
            <w:r w:rsidR="00DF46EC">
              <w:rPr>
                <w:noProof/>
                <w:webHidden/>
              </w:rPr>
            </w:r>
            <w:r w:rsidR="00DF46EC">
              <w:rPr>
                <w:noProof/>
                <w:webHidden/>
              </w:rPr>
              <w:fldChar w:fldCharType="separate"/>
            </w:r>
            <w:r w:rsidR="00A16CFC">
              <w:rPr>
                <w:noProof/>
                <w:webHidden/>
              </w:rPr>
              <w:t>69</w:t>
            </w:r>
            <w:r w:rsidR="00DF46EC">
              <w:rPr>
                <w:noProof/>
                <w:webHidden/>
              </w:rPr>
              <w:fldChar w:fldCharType="end"/>
            </w:r>
          </w:hyperlink>
        </w:p>
        <w:p w14:paraId="51809BB6" w14:textId="77777777" w:rsidR="00DF46EC" w:rsidRDefault="00E02FE2">
          <w:pPr>
            <w:pStyle w:val="TM3"/>
            <w:tabs>
              <w:tab w:val="right" w:leader="dot" w:pos="9016"/>
            </w:tabs>
            <w:rPr>
              <w:rFonts w:eastAsiaTheme="minorEastAsia"/>
              <w:noProof/>
              <w:lang w:eastAsia="fr-FR"/>
            </w:rPr>
          </w:pPr>
          <w:hyperlink w:anchor="_Toc94482092" w:history="1">
            <w:r w:rsidR="00DF46EC" w:rsidRPr="00DC2D41">
              <w:rPr>
                <w:rStyle w:val="Lienhypertexte"/>
                <w:rFonts w:ascii="Bernard MT Condensed" w:hAnsi="Bernard MT Condensed"/>
                <w:noProof/>
              </w:rPr>
              <w:t>I.6.3 - CADRE DE VIE</w:t>
            </w:r>
            <w:r w:rsidR="00DF46EC">
              <w:rPr>
                <w:noProof/>
                <w:webHidden/>
              </w:rPr>
              <w:tab/>
            </w:r>
            <w:r w:rsidR="00DF46EC">
              <w:rPr>
                <w:noProof/>
                <w:webHidden/>
              </w:rPr>
              <w:fldChar w:fldCharType="begin"/>
            </w:r>
            <w:r w:rsidR="00DF46EC">
              <w:rPr>
                <w:noProof/>
                <w:webHidden/>
              </w:rPr>
              <w:instrText xml:space="preserve"> PAGEREF _Toc94482092 \h </w:instrText>
            </w:r>
            <w:r w:rsidR="00DF46EC">
              <w:rPr>
                <w:noProof/>
                <w:webHidden/>
              </w:rPr>
            </w:r>
            <w:r w:rsidR="00DF46EC">
              <w:rPr>
                <w:noProof/>
                <w:webHidden/>
              </w:rPr>
              <w:fldChar w:fldCharType="separate"/>
            </w:r>
            <w:r w:rsidR="00A16CFC">
              <w:rPr>
                <w:noProof/>
                <w:webHidden/>
              </w:rPr>
              <w:t>69</w:t>
            </w:r>
            <w:r w:rsidR="00DF46EC">
              <w:rPr>
                <w:noProof/>
                <w:webHidden/>
              </w:rPr>
              <w:fldChar w:fldCharType="end"/>
            </w:r>
          </w:hyperlink>
        </w:p>
        <w:p w14:paraId="04D2A724" w14:textId="77777777" w:rsidR="00DF46EC" w:rsidRDefault="00E02FE2">
          <w:pPr>
            <w:pStyle w:val="TM3"/>
            <w:tabs>
              <w:tab w:val="left" w:pos="880"/>
              <w:tab w:val="right" w:leader="dot" w:pos="9016"/>
            </w:tabs>
            <w:rPr>
              <w:rFonts w:eastAsiaTheme="minorEastAsia"/>
              <w:noProof/>
              <w:lang w:eastAsia="fr-FR"/>
            </w:rPr>
          </w:pPr>
          <w:hyperlink w:anchor="_Toc94482094" w:history="1">
            <w:r w:rsidR="00DF46EC" w:rsidRPr="00DC2D41">
              <w:rPr>
                <w:rStyle w:val="Lienhypertexte"/>
                <w:rFonts w:ascii="Wingdings" w:hAnsi="Wingdings" w:cs="Times New Roman"/>
                <w:noProof/>
              </w:rPr>
              <w:t></w:t>
            </w:r>
            <w:r w:rsidR="00DF46EC">
              <w:rPr>
                <w:rFonts w:eastAsiaTheme="minorEastAsia"/>
                <w:noProof/>
                <w:lang w:eastAsia="fr-FR"/>
              </w:rPr>
              <w:tab/>
            </w:r>
            <w:r w:rsidR="00DF46EC" w:rsidRPr="00DC2D41">
              <w:rPr>
                <w:rStyle w:val="Lienhypertexte"/>
                <w:rFonts w:ascii="Times New Roman" w:hAnsi="Times New Roman" w:cs="Times New Roman"/>
                <w:b/>
                <w:i/>
                <w:noProof/>
              </w:rPr>
              <w:t>Insuffisance du contrôle des outils de planification</w:t>
            </w:r>
            <w:r w:rsidR="00DF46EC">
              <w:rPr>
                <w:noProof/>
                <w:webHidden/>
              </w:rPr>
              <w:tab/>
            </w:r>
            <w:r w:rsidR="00DF46EC">
              <w:rPr>
                <w:noProof/>
                <w:webHidden/>
              </w:rPr>
              <w:fldChar w:fldCharType="begin"/>
            </w:r>
            <w:r w:rsidR="00DF46EC">
              <w:rPr>
                <w:noProof/>
                <w:webHidden/>
              </w:rPr>
              <w:instrText xml:space="preserve"> PAGEREF _Toc94482094 \h </w:instrText>
            </w:r>
            <w:r w:rsidR="00DF46EC">
              <w:rPr>
                <w:noProof/>
                <w:webHidden/>
              </w:rPr>
            </w:r>
            <w:r w:rsidR="00DF46EC">
              <w:rPr>
                <w:noProof/>
                <w:webHidden/>
              </w:rPr>
              <w:fldChar w:fldCharType="separate"/>
            </w:r>
            <w:r w:rsidR="00A16CFC">
              <w:rPr>
                <w:noProof/>
                <w:webHidden/>
              </w:rPr>
              <w:t>69</w:t>
            </w:r>
            <w:r w:rsidR="00DF46EC">
              <w:rPr>
                <w:noProof/>
                <w:webHidden/>
              </w:rPr>
              <w:fldChar w:fldCharType="end"/>
            </w:r>
          </w:hyperlink>
        </w:p>
        <w:p w14:paraId="2062D457" w14:textId="2459CBFF" w:rsidR="00DF46EC" w:rsidRDefault="005F0A83">
          <w:pPr>
            <w:pStyle w:val="TM2"/>
            <w:tabs>
              <w:tab w:val="left" w:pos="660"/>
              <w:tab w:val="right" w:leader="dot" w:pos="9016"/>
            </w:tabs>
            <w:rPr>
              <w:rFonts w:eastAsiaTheme="minorEastAsia"/>
              <w:noProof/>
              <w:lang w:eastAsia="fr-FR"/>
            </w:rPr>
          </w:pPr>
          <w:r>
            <w:rPr>
              <w:noProof/>
            </w:rPr>
            <w:t xml:space="preserve">    </w:t>
          </w:r>
          <w:hyperlink w:anchor="_Toc94482095" w:history="1">
            <w:r w:rsidR="00DF46EC" w:rsidRPr="00DC2D41">
              <w:rPr>
                <w:rStyle w:val="Lienhypertexte"/>
                <w:rFonts w:ascii="Wingdings" w:hAnsi="Wingdings" w:cs="Times New Roman"/>
                <w:noProof/>
              </w:rPr>
              <w:t></w:t>
            </w:r>
            <w:r w:rsidR="00DF46EC">
              <w:rPr>
                <w:rFonts w:eastAsiaTheme="minorEastAsia"/>
                <w:noProof/>
                <w:lang w:eastAsia="fr-FR"/>
              </w:rPr>
              <w:tab/>
            </w:r>
            <w:r w:rsidR="00DF46EC" w:rsidRPr="00DC2D41">
              <w:rPr>
                <w:rStyle w:val="Lienhypertexte"/>
                <w:rFonts w:ascii="Times New Roman" w:hAnsi="Times New Roman" w:cs="Times New Roman"/>
                <w:b/>
                <w:i/>
                <w:noProof/>
              </w:rPr>
              <w:t>Insuffisance des infrastructures urbaines</w:t>
            </w:r>
            <w:r w:rsidR="00DF46EC">
              <w:rPr>
                <w:noProof/>
                <w:webHidden/>
              </w:rPr>
              <w:tab/>
            </w:r>
            <w:r w:rsidR="00DF46EC">
              <w:rPr>
                <w:noProof/>
                <w:webHidden/>
              </w:rPr>
              <w:fldChar w:fldCharType="begin"/>
            </w:r>
            <w:r w:rsidR="00DF46EC">
              <w:rPr>
                <w:noProof/>
                <w:webHidden/>
              </w:rPr>
              <w:instrText xml:space="preserve"> PAGEREF _Toc94482095 \h </w:instrText>
            </w:r>
            <w:r w:rsidR="00DF46EC">
              <w:rPr>
                <w:noProof/>
                <w:webHidden/>
              </w:rPr>
            </w:r>
            <w:r w:rsidR="00DF46EC">
              <w:rPr>
                <w:noProof/>
                <w:webHidden/>
              </w:rPr>
              <w:fldChar w:fldCharType="separate"/>
            </w:r>
            <w:r w:rsidR="00A16CFC">
              <w:rPr>
                <w:noProof/>
                <w:webHidden/>
              </w:rPr>
              <w:t>70</w:t>
            </w:r>
            <w:r w:rsidR="00DF46EC">
              <w:rPr>
                <w:noProof/>
                <w:webHidden/>
              </w:rPr>
              <w:fldChar w:fldCharType="end"/>
            </w:r>
          </w:hyperlink>
        </w:p>
        <w:p w14:paraId="0A78D34B" w14:textId="77777777" w:rsidR="00DF46EC" w:rsidRDefault="00E02FE2">
          <w:pPr>
            <w:pStyle w:val="TM1"/>
            <w:tabs>
              <w:tab w:val="right" w:leader="dot" w:pos="9016"/>
            </w:tabs>
            <w:rPr>
              <w:rFonts w:eastAsiaTheme="minorEastAsia"/>
              <w:noProof/>
              <w:lang w:eastAsia="fr-FR"/>
            </w:rPr>
          </w:pPr>
          <w:hyperlink w:anchor="_Toc94482096" w:history="1">
            <w:r w:rsidR="00DF46EC" w:rsidRPr="00DC2D41">
              <w:rPr>
                <w:rStyle w:val="Lienhypertexte"/>
                <w:rFonts w:ascii="Bernard MT Condensed" w:hAnsi="Bernard MT Condensed"/>
                <w:noProof/>
              </w:rPr>
              <w:t>II - Vision nationale du développement durable</w:t>
            </w:r>
            <w:r w:rsidR="00DF46EC">
              <w:rPr>
                <w:noProof/>
                <w:webHidden/>
              </w:rPr>
              <w:tab/>
            </w:r>
            <w:r w:rsidR="00DF46EC">
              <w:rPr>
                <w:noProof/>
                <w:webHidden/>
              </w:rPr>
              <w:fldChar w:fldCharType="begin"/>
            </w:r>
            <w:r w:rsidR="00DF46EC">
              <w:rPr>
                <w:noProof/>
                <w:webHidden/>
              </w:rPr>
              <w:instrText xml:space="preserve"> PAGEREF _Toc94482096 \h </w:instrText>
            </w:r>
            <w:r w:rsidR="00DF46EC">
              <w:rPr>
                <w:noProof/>
                <w:webHidden/>
              </w:rPr>
            </w:r>
            <w:r w:rsidR="00DF46EC">
              <w:rPr>
                <w:noProof/>
                <w:webHidden/>
              </w:rPr>
              <w:fldChar w:fldCharType="separate"/>
            </w:r>
            <w:r w:rsidR="00A16CFC">
              <w:rPr>
                <w:noProof/>
                <w:webHidden/>
              </w:rPr>
              <w:t>70</w:t>
            </w:r>
            <w:r w:rsidR="00DF46EC">
              <w:rPr>
                <w:noProof/>
                <w:webHidden/>
              </w:rPr>
              <w:fldChar w:fldCharType="end"/>
            </w:r>
          </w:hyperlink>
        </w:p>
        <w:p w14:paraId="584E94E0" w14:textId="77777777" w:rsidR="00DF46EC" w:rsidRDefault="00E02FE2">
          <w:pPr>
            <w:pStyle w:val="TM1"/>
            <w:tabs>
              <w:tab w:val="right" w:leader="dot" w:pos="9016"/>
            </w:tabs>
            <w:rPr>
              <w:rFonts w:eastAsiaTheme="minorEastAsia"/>
              <w:noProof/>
              <w:lang w:eastAsia="fr-FR"/>
            </w:rPr>
          </w:pPr>
          <w:hyperlink w:anchor="_Toc94482097" w:history="1">
            <w:r w:rsidR="00DF46EC" w:rsidRPr="00DC2D41">
              <w:rPr>
                <w:rStyle w:val="Lienhypertexte"/>
                <w:rFonts w:ascii="Bernard MT Condensed" w:hAnsi="Bernard MT Condensed"/>
                <w:noProof/>
              </w:rPr>
              <w:t>III - Progrès accomplis vers l’atteinte des ODD</w:t>
            </w:r>
            <w:r w:rsidR="00DF46EC">
              <w:rPr>
                <w:noProof/>
                <w:webHidden/>
              </w:rPr>
              <w:tab/>
            </w:r>
            <w:r w:rsidR="00DF46EC">
              <w:rPr>
                <w:noProof/>
                <w:webHidden/>
              </w:rPr>
              <w:fldChar w:fldCharType="begin"/>
            </w:r>
            <w:r w:rsidR="00DF46EC">
              <w:rPr>
                <w:noProof/>
                <w:webHidden/>
              </w:rPr>
              <w:instrText xml:space="preserve"> PAGEREF _Toc94482097 \h </w:instrText>
            </w:r>
            <w:r w:rsidR="00DF46EC">
              <w:rPr>
                <w:noProof/>
                <w:webHidden/>
              </w:rPr>
            </w:r>
            <w:r w:rsidR="00DF46EC">
              <w:rPr>
                <w:noProof/>
                <w:webHidden/>
              </w:rPr>
              <w:fldChar w:fldCharType="separate"/>
            </w:r>
            <w:r w:rsidR="00A16CFC">
              <w:rPr>
                <w:noProof/>
                <w:webHidden/>
              </w:rPr>
              <w:t>71</w:t>
            </w:r>
            <w:r w:rsidR="00DF46EC">
              <w:rPr>
                <w:noProof/>
                <w:webHidden/>
              </w:rPr>
              <w:fldChar w:fldCharType="end"/>
            </w:r>
          </w:hyperlink>
        </w:p>
        <w:p w14:paraId="59B22ACB" w14:textId="77777777" w:rsidR="00DF46EC" w:rsidRDefault="00E02FE2">
          <w:pPr>
            <w:pStyle w:val="TM2"/>
            <w:tabs>
              <w:tab w:val="right" w:leader="dot" w:pos="9016"/>
            </w:tabs>
            <w:rPr>
              <w:rFonts w:eastAsiaTheme="minorEastAsia"/>
              <w:noProof/>
              <w:lang w:eastAsia="fr-FR"/>
            </w:rPr>
          </w:pPr>
          <w:hyperlink w:anchor="_Toc94482098" w:history="1">
            <w:r w:rsidR="00DF46EC" w:rsidRPr="00DC2D41">
              <w:rPr>
                <w:rStyle w:val="Lienhypertexte"/>
                <w:rFonts w:ascii="Bernard MT Condensed" w:hAnsi="Bernard MT Condensed"/>
                <w:noProof/>
              </w:rPr>
              <w:t>III.1 - Gouvernance, paix, sécurité</w:t>
            </w:r>
            <w:r w:rsidR="00DF46EC">
              <w:rPr>
                <w:noProof/>
                <w:webHidden/>
              </w:rPr>
              <w:tab/>
            </w:r>
            <w:r w:rsidR="00DF46EC">
              <w:rPr>
                <w:noProof/>
                <w:webHidden/>
              </w:rPr>
              <w:fldChar w:fldCharType="begin"/>
            </w:r>
            <w:r w:rsidR="00DF46EC">
              <w:rPr>
                <w:noProof/>
                <w:webHidden/>
              </w:rPr>
              <w:instrText xml:space="preserve"> PAGEREF _Toc94482098 \h </w:instrText>
            </w:r>
            <w:r w:rsidR="00DF46EC">
              <w:rPr>
                <w:noProof/>
                <w:webHidden/>
              </w:rPr>
            </w:r>
            <w:r w:rsidR="00DF46EC">
              <w:rPr>
                <w:noProof/>
                <w:webHidden/>
              </w:rPr>
              <w:fldChar w:fldCharType="separate"/>
            </w:r>
            <w:r w:rsidR="00A16CFC">
              <w:rPr>
                <w:noProof/>
                <w:webHidden/>
              </w:rPr>
              <w:t>71</w:t>
            </w:r>
            <w:r w:rsidR="00DF46EC">
              <w:rPr>
                <w:noProof/>
                <w:webHidden/>
              </w:rPr>
              <w:fldChar w:fldCharType="end"/>
            </w:r>
          </w:hyperlink>
        </w:p>
        <w:p w14:paraId="23208A49" w14:textId="77777777" w:rsidR="00DF46EC" w:rsidRDefault="00E02FE2">
          <w:pPr>
            <w:pStyle w:val="TM2"/>
            <w:tabs>
              <w:tab w:val="right" w:leader="dot" w:pos="9016"/>
            </w:tabs>
            <w:rPr>
              <w:rFonts w:eastAsiaTheme="minorEastAsia"/>
              <w:noProof/>
              <w:lang w:eastAsia="fr-FR"/>
            </w:rPr>
          </w:pPr>
          <w:hyperlink w:anchor="_Toc94482099" w:history="1">
            <w:r w:rsidR="00DF46EC" w:rsidRPr="00DC2D41">
              <w:rPr>
                <w:rStyle w:val="Lienhypertexte"/>
                <w:rFonts w:ascii="Bernard MT Condensed" w:hAnsi="Bernard MT Condensed"/>
                <w:noProof/>
              </w:rPr>
              <w:t>III.2 - Capital humain</w:t>
            </w:r>
            <w:r w:rsidR="00DF46EC">
              <w:rPr>
                <w:noProof/>
                <w:webHidden/>
              </w:rPr>
              <w:tab/>
            </w:r>
            <w:r w:rsidR="00DF46EC">
              <w:rPr>
                <w:noProof/>
                <w:webHidden/>
              </w:rPr>
              <w:fldChar w:fldCharType="begin"/>
            </w:r>
            <w:r w:rsidR="00DF46EC">
              <w:rPr>
                <w:noProof/>
                <w:webHidden/>
              </w:rPr>
              <w:instrText xml:space="preserve"> PAGEREF _Toc94482099 \h </w:instrText>
            </w:r>
            <w:r w:rsidR="00DF46EC">
              <w:rPr>
                <w:noProof/>
                <w:webHidden/>
              </w:rPr>
            </w:r>
            <w:r w:rsidR="00DF46EC">
              <w:rPr>
                <w:noProof/>
                <w:webHidden/>
              </w:rPr>
              <w:fldChar w:fldCharType="separate"/>
            </w:r>
            <w:r w:rsidR="00A16CFC">
              <w:rPr>
                <w:noProof/>
                <w:webHidden/>
              </w:rPr>
              <w:t>74</w:t>
            </w:r>
            <w:r w:rsidR="00DF46EC">
              <w:rPr>
                <w:noProof/>
                <w:webHidden/>
              </w:rPr>
              <w:fldChar w:fldCharType="end"/>
            </w:r>
          </w:hyperlink>
        </w:p>
        <w:p w14:paraId="3265D282" w14:textId="77777777" w:rsidR="00DF46EC" w:rsidRDefault="00E02FE2">
          <w:pPr>
            <w:pStyle w:val="TM2"/>
            <w:tabs>
              <w:tab w:val="right" w:leader="dot" w:pos="9016"/>
            </w:tabs>
            <w:rPr>
              <w:rFonts w:eastAsiaTheme="minorEastAsia"/>
              <w:noProof/>
              <w:lang w:eastAsia="fr-FR"/>
            </w:rPr>
          </w:pPr>
          <w:hyperlink w:anchor="_Toc94482100" w:history="1">
            <w:r w:rsidR="00DF46EC" w:rsidRPr="00DC2D41">
              <w:rPr>
                <w:rStyle w:val="Lienhypertexte"/>
                <w:rFonts w:ascii="Bernard MT Condensed" w:hAnsi="Bernard MT Condensed"/>
                <w:noProof/>
              </w:rPr>
              <w:t>III.3 - Modernisation du monde rural, changement climatique, désastres naturels et gestion durable des ressources naturelles</w:t>
            </w:r>
            <w:r w:rsidR="00DF46EC">
              <w:rPr>
                <w:noProof/>
                <w:webHidden/>
              </w:rPr>
              <w:tab/>
            </w:r>
            <w:r w:rsidR="00DF46EC">
              <w:rPr>
                <w:noProof/>
                <w:webHidden/>
              </w:rPr>
              <w:fldChar w:fldCharType="begin"/>
            </w:r>
            <w:r w:rsidR="00DF46EC">
              <w:rPr>
                <w:noProof/>
                <w:webHidden/>
              </w:rPr>
              <w:instrText xml:space="preserve"> PAGEREF _Toc94482100 \h </w:instrText>
            </w:r>
            <w:r w:rsidR="00DF46EC">
              <w:rPr>
                <w:noProof/>
                <w:webHidden/>
              </w:rPr>
            </w:r>
            <w:r w:rsidR="00DF46EC">
              <w:rPr>
                <w:noProof/>
                <w:webHidden/>
              </w:rPr>
              <w:fldChar w:fldCharType="separate"/>
            </w:r>
            <w:r w:rsidR="00A16CFC">
              <w:rPr>
                <w:noProof/>
                <w:webHidden/>
              </w:rPr>
              <w:t>76</w:t>
            </w:r>
            <w:r w:rsidR="00DF46EC">
              <w:rPr>
                <w:noProof/>
                <w:webHidden/>
              </w:rPr>
              <w:fldChar w:fldCharType="end"/>
            </w:r>
          </w:hyperlink>
        </w:p>
        <w:p w14:paraId="0749A3B7" w14:textId="77777777" w:rsidR="00DF46EC" w:rsidRDefault="00E02FE2">
          <w:pPr>
            <w:pStyle w:val="TM1"/>
            <w:tabs>
              <w:tab w:val="right" w:leader="dot" w:pos="9016"/>
            </w:tabs>
            <w:rPr>
              <w:rFonts w:eastAsiaTheme="minorEastAsia"/>
              <w:noProof/>
              <w:lang w:eastAsia="fr-FR"/>
            </w:rPr>
          </w:pPr>
          <w:hyperlink w:anchor="_Toc94482101" w:history="1">
            <w:r w:rsidR="00DF46EC" w:rsidRPr="00DC2D41">
              <w:rPr>
                <w:rStyle w:val="Lienhypertexte"/>
                <w:rFonts w:ascii="Bernard MT Condensed" w:hAnsi="Bernard MT Condensed"/>
                <w:noProof/>
              </w:rPr>
              <w:t>IV - Mécanismes de financement du développement</w:t>
            </w:r>
            <w:r w:rsidR="00DF46EC">
              <w:rPr>
                <w:noProof/>
                <w:webHidden/>
              </w:rPr>
              <w:tab/>
            </w:r>
            <w:r w:rsidR="00DF46EC">
              <w:rPr>
                <w:noProof/>
                <w:webHidden/>
              </w:rPr>
              <w:fldChar w:fldCharType="begin"/>
            </w:r>
            <w:r w:rsidR="00DF46EC">
              <w:rPr>
                <w:noProof/>
                <w:webHidden/>
              </w:rPr>
              <w:instrText xml:space="preserve"> PAGEREF _Toc94482101 \h </w:instrText>
            </w:r>
            <w:r w:rsidR="00DF46EC">
              <w:rPr>
                <w:noProof/>
                <w:webHidden/>
              </w:rPr>
            </w:r>
            <w:r w:rsidR="00DF46EC">
              <w:rPr>
                <w:noProof/>
                <w:webHidden/>
              </w:rPr>
              <w:fldChar w:fldCharType="separate"/>
            </w:r>
            <w:r w:rsidR="00A16CFC">
              <w:rPr>
                <w:noProof/>
                <w:webHidden/>
              </w:rPr>
              <w:t>82</w:t>
            </w:r>
            <w:r w:rsidR="00DF46EC">
              <w:rPr>
                <w:noProof/>
                <w:webHidden/>
              </w:rPr>
              <w:fldChar w:fldCharType="end"/>
            </w:r>
          </w:hyperlink>
        </w:p>
        <w:p w14:paraId="2F1A58D5" w14:textId="77777777" w:rsidR="00DF46EC" w:rsidRDefault="00E02FE2">
          <w:pPr>
            <w:pStyle w:val="TM2"/>
            <w:tabs>
              <w:tab w:val="right" w:leader="dot" w:pos="9016"/>
            </w:tabs>
            <w:rPr>
              <w:rFonts w:eastAsiaTheme="minorEastAsia"/>
              <w:noProof/>
              <w:lang w:eastAsia="fr-FR"/>
            </w:rPr>
          </w:pPr>
          <w:hyperlink w:anchor="_Toc94482102" w:history="1">
            <w:r w:rsidR="00DF46EC" w:rsidRPr="00DC2D41">
              <w:rPr>
                <w:rStyle w:val="Lienhypertexte"/>
                <w:rFonts w:ascii="Bernard MT Condensed" w:hAnsi="Bernard MT Condensed"/>
                <w:noProof/>
              </w:rPr>
              <w:t>IV.1 - Financement intérieur</w:t>
            </w:r>
            <w:r w:rsidR="00DF46EC">
              <w:rPr>
                <w:noProof/>
                <w:webHidden/>
              </w:rPr>
              <w:tab/>
            </w:r>
            <w:r w:rsidR="00DF46EC">
              <w:rPr>
                <w:noProof/>
                <w:webHidden/>
              </w:rPr>
              <w:fldChar w:fldCharType="begin"/>
            </w:r>
            <w:r w:rsidR="00DF46EC">
              <w:rPr>
                <w:noProof/>
                <w:webHidden/>
              </w:rPr>
              <w:instrText xml:space="preserve"> PAGEREF _Toc94482102 \h </w:instrText>
            </w:r>
            <w:r w:rsidR="00DF46EC">
              <w:rPr>
                <w:noProof/>
                <w:webHidden/>
              </w:rPr>
            </w:r>
            <w:r w:rsidR="00DF46EC">
              <w:rPr>
                <w:noProof/>
                <w:webHidden/>
              </w:rPr>
              <w:fldChar w:fldCharType="separate"/>
            </w:r>
            <w:r w:rsidR="00A16CFC">
              <w:rPr>
                <w:noProof/>
                <w:webHidden/>
              </w:rPr>
              <w:t>82</w:t>
            </w:r>
            <w:r w:rsidR="00DF46EC">
              <w:rPr>
                <w:noProof/>
                <w:webHidden/>
              </w:rPr>
              <w:fldChar w:fldCharType="end"/>
            </w:r>
          </w:hyperlink>
        </w:p>
        <w:p w14:paraId="20CEA372" w14:textId="77777777" w:rsidR="00DF46EC" w:rsidRDefault="00E02FE2">
          <w:pPr>
            <w:pStyle w:val="TM2"/>
            <w:tabs>
              <w:tab w:val="right" w:leader="dot" w:pos="9016"/>
            </w:tabs>
            <w:rPr>
              <w:rFonts w:eastAsiaTheme="minorEastAsia"/>
              <w:noProof/>
              <w:lang w:eastAsia="fr-FR"/>
            </w:rPr>
          </w:pPr>
          <w:hyperlink w:anchor="_Toc94482103" w:history="1">
            <w:r w:rsidR="00DF46EC" w:rsidRPr="00DC2D41">
              <w:rPr>
                <w:rStyle w:val="Lienhypertexte"/>
                <w:rFonts w:ascii="Bernard MT Condensed" w:hAnsi="Bernard MT Condensed"/>
                <w:noProof/>
              </w:rPr>
              <w:t>IV.2 - Financement extérieur</w:t>
            </w:r>
            <w:r w:rsidR="00DF46EC">
              <w:rPr>
                <w:noProof/>
                <w:webHidden/>
              </w:rPr>
              <w:tab/>
            </w:r>
            <w:r w:rsidR="00DF46EC">
              <w:rPr>
                <w:noProof/>
                <w:webHidden/>
              </w:rPr>
              <w:fldChar w:fldCharType="begin"/>
            </w:r>
            <w:r w:rsidR="00DF46EC">
              <w:rPr>
                <w:noProof/>
                <w:webHidden/>
              </w:rPr>
              <w:instrText xml:space="preserve"> PAGEREF _Toc94482103 \h </w:instrText>
            </w:r>
            <w:r w:rsidR="00DF46EC">
              <w:rPr>
                <w:noProof/>
                <w:webHidden/>
              </w:rPr>
            </w:r>
            <w:r w:rsidR="00DF46EC">
              <w:rPr>
                <w:noProof/>
                <w:webHidden/>
              </w:rPr>
              <w:fldChar w:fldCharType="separate"/>
            </w:r>
            <w:r w:rsidR="00A16CFC">
              <w:rPr>
                <w:noProof/>
                <w:webHidden/>
              </w:rPr>
              <w:t>83</w:t>
            </w:r>
            <w:r w:rsidR="00DF46EC">
              <w:rPr>
                <w:noProof/>
                <w:webHidden/>
              </w:rPr>
              <w:fldChar w:fldCharType="end"/>
            </w:r>
          </w:hyperlink>
        </w:p>
        <w:p w14:paraId="32610B81" w14:textId="77777777" w:rsidR="00DF46EC" w:rsidRDefault="00E02FE2">
          <w:pPr>
            <w:pStyle w:val="TM3"/>
            <w:tabs>
              <w:tab w:val="right" w:leader="dot" w:pos="9016"/>
            </w:tabs>
            <w:rPr>
              <w:rFonts w:eastAsiaTheme="minorEastAsia"/>
              <w:noProof/>
              <w:lang w:eastAsia="fr-FR"/>
            </w:rPr>
          </w:pPr>
          <w:hyperlink w:anchor="_Toc94482104" w:history="1">
            <w:r w:rsidR="00DF46EC" w:rsidRPr="00DC2D41">
              <w:rPr>
                <w:rStyle w:val="Lienhypertexte"/>
                <w:rFonts w:ascii="Bernard MT Condensed" w:hAnsi="Bernard MT Condensed"/>
                <w:noProof/>
              </w:rPr>
              <w:t>IV.2.1 - Aide publique au développement</w:t>
            </w:r>
            <w:r w:rsidR="00DF46EC">
              <w:rPr>
                <w:noProof/>
                <w:webHidden/>
              </w:rPr>
              <w:tab/>
            </w:r>
            <w:r w:rsidR="00DF46EC">
              <w:rPr>
                <w:noProof/>
                <w:webHidden/>
              </w:rPr>
              <w:fldChar w:fldCharType="begin"/>
            </w:r>
            <w:r w:rsidR="00DF46EC">
              <w:rPr>
                <w:noProof/>
                <w:webHidden/>
              </w:rPr>
              <w:instrText xml:space="preserve"> PAGEREF _Toc94482104 \h </w:instrText>
            </w:r>
            <w:r w:rsidR="00DF46EC">
              <w:rPr>
                <w:noProof/>
                <w:webHidden/>
              </w:rPr>
            </w:r>
            <w:r w:rsidR="00DF46EC">
              <w:rPr>
                <w:noProof/>
                <w:webHidden/>
              </w:rPr>
              <w:fldChar w:fldCharType="separate"/>
            </w:r>
            <w:r w:rsidR="00A16CFC">
              <w:rPr>
                <w:noProof/>
                <w:webHidden/>
              </w:rPr>
              <w:t>83</w:t>
            </w:r>
            <w:r w:rsidR="00DF46EC">
              <w:rPr>
                <w:noProof/>
                <w:webHidden/>
              </w:rPr>
              <w:fldChar w:fldCharType="end"/>
            </w:r>
          </w:hyperlink>
        </w:p>
        <w:p w14:paraId="50032B74" w14:textId="77777777" w:rsidR="00DF46EC" w:rsidRDefault="00E02FE2">
          <w:pPr>
            <w:pStyle w:val="TM3"/>
            <w:tabs>
              <w:tab w:val="right" w:leader="dot" w:pos="9016"/>
            </w:tabs>
            <w:rPr>
              <w:rFonts w:eastAsiaTheme="minorEastAsia"/>
              <w:noProof/>
              <w:lang w:eastAsia="fr-FR"/>
            </w:rPr>
          </w:pPr>
          <w:hyperlink w:anchor="_Toc94482105" w:history="1">
            <w:r w:rsidR="00DF46EC" w:rsidRPr="00DC2D41">
              <w:rPr>
                <w:rStyle w:val="Lienhypertexte"/>
                <w:rFonts w:ascii="Bernard MT Condensed" w:hAnsi="Bernard MT Condensed"/>
                <w:noProof/>
              </w:rPr>
              <w:t>IV.2.2 - Flux de financement privé</w:t>
            </w:r>
            <w:r w:rsidR="00DF46EC">
              <w:rPr>
                <w:noProof/>
                <w:webHidden/>
              </w:rPr>
              <w:tab/>
            </w:r>
            <w:r w:rsidR="00DF46EC">
              <w:rPr>
                <w:noProof/>
                <w:webHidden/>
              </w:rPr>
              <w:fldChar w:fldCharType="begin"/>
            </w:r>
            <w:r w:rsidR="00DF46EC">
              <w:rPr>
                <w:noProof/>
                <w:webHidden/>
              </w:rPr>
              <w:instrText xml:space="preserve"> PAGEREF _Toc94482105 \h </w:instrText>
            </w:r>
            <w:r w:rsidR="00DF46EC">
              <w:rPr>
                <w:noProof/>
                <w:webHidden/>
              </w:rPr>
            </w:r>
            <w:r w:rsidR="00DF46EC">
              <w:rPr>
                <w:noProof/>
                <w:webHidden/>
              </w:rPr>
              <w:fldChar w:fldCharType="separate"/>
            </w:r>
            <w:r w:rsidR="00A16CFC">
              <w:rPr>
                <w:noProof/>
                <w:webHidden/>
              </w:rPr>
              <w:t>84</w:t>
            </w:r>
            <w:r w:rsidR="00DF46EC">
              <w:rPr>
                <w:noProof/>
                <w:webHidden/>
              </w:rPr>
              <w:fldChar w:fldCharType="end"/>
            </w:r>
          </w:hyperlink>
        </w:p>
        <w:p w14:paraId="24A6E7F2" w14:textId="77777777" w:rsidR="00DF46EC" w:rsidRDefault="00E02FE2">
          <w:pPr>
            <w:pStyle w:val="TM3"/>
            <w:tabs>
              <w:tab w:val="right" w:leader="dot" w:pos="9016"/>
            </w:tabs>
            <w:rPr>
              <w:rFonts w:eastAsiaTheme="minorEastAsia"/>
              <w:noProof/>
              <w:lang w:eastAsia="fr-FR"/>
            </w:rPr>
          </w:pPr>
          <w:hyperlink w:anchor="_Toc94482106" w:history="1">
            <w:r w:rsidR="00DF46EC" w:rsidRPr="00DC2D41">
              <w:rPr>
                <w:rStyle w:val="Lienhypertexte"/>
                <w:rFonts w:ascii="Bernard MT Condensed" w:hAnsi="Bernard MT Condensed"/>
                <w:noProof/>
              </w:rPr>
              <w:t>IV.2.3 - Profil de la dette du Niger</w:t>
            </w:r>
            <w:r w:rsidR="00DF46EC">
              <w:rPr>
                <w:noProof/>
                <w:webHidden/>
              </w:rPr>
              <w:tab/>
            </w:r>
            <w:r w:rsidR="00DF46EC">
              <w:rPr>
                <w:noProof/>
                <w:webHidden/>
              </w:rPr>
              <w:fldChar w:fldCharType="begin"/>
            </w:r>
            <w:r w:rsidR="00DF46EC">
              <w:rPr>
                <w:noProof/>
                <w:webHidden/>
              </w:rPr>
              <w:instrText xml:space="preserve"> PAGEREF _Toc94482106 \h </w:instrText>
            </w:r>
            <w:r w:rsidR="00DF46EC">
              <w:rPr>
                <w:noProof/>
                <w:webHidden/>
              </w:rPr>
            </w:r>
            <w:r w:rsidR="00DF46EC">
              <w:rPr>
                <w:noProof/>
                <w:webHidden/>
              </w:rPr>
              <w:fldChar w:fldCharType="separate"/>
            </w:r>
            <w:r w:rsidR="00A16CFC">
              <w:rPr>
                <w:noProof/>
                <w:webHidden/>
              </w:rPr>
              <w:t>85</w:t>
            </w:r>
            <w:r w:rsidR="00DF46EC">
              <w:rPr>
                <w:noProof/>
                <w:webHidden/>
              </w:rPr>
              <w:fldChar w:fldCharType="end"/>
            </w:r>
          </w:hyperlink>
        </w:p>
        <w:p w14:paraId="321CEA7C" w14:textId="77777777" w:rsidR="00DF46EC" w:rsidRDefault="00E02FE2">
          <w:pPr>
            <w:pStyle w:val="TM1"/>
            <w:tabs>
              <w:tab w:val="right" w:leader="dot" w:pos="9016"/>
            </w:tabs>
            <w:rPr>
              <w:rFonts w:eastAsiaTheme="minorEastAsia"/>
              <w:noProof/>
              <w:lang w:eastAsia="fr-FR"/>
            </w:rPr>
          </w:pPr>
          <w:hyperlink w:anchor="_Toc94482107" w:history="1">
            <w:r w:rsidR="00DF46EC" w:rsidRPr="00DC2D41">
              <w:rPr>
                <w:rStyle w:val="Lienhypertexte"/>
                <w:rFonts w:ascii="Bernard MT Condensed" w:hAnsi="Bernard MT Condensed"/>
                <w:noProof/>
              </w:rPr>
              <w:t>V - Droits humains et genre</w:t>
            </w:r>
            <w:r w:rsidR="00DF46EC">
              <w:rPr>
                <w:noProof/>
                <w:webHidden/>
              </w:rPr>
              <w:tab/>
            </w:r>
            <w:r w:rsidR="00DF46EC">
              <w:rPr>
                <w:noProof/>
                <w:webHidden/>
              </w:rPr>
              <w:fldChar w:fldCharType="begin"/>
            </w:r>
            <w:r w:rsidR="00DF46EC">
              <w:rPr>
                <w:noProof/>
                <w:webHidden/>
              </w:rPr>
              <w:instrText xml:space="preserve"> PAGEREF _Toc94482107 \h </w:instrText>
            </w:r>
            <w:r w:rsidR="00DF46EC">
              <w:rPr>
                <w:noProof/>
                <w:webHidden/>
              </w:rPr>
            </w:r>
            <w:r w:rsidR="00DF46EC">
              <w:rPr>
                <w:noProof/>
                <w:webHidden/>
              </w:rPr>
              <w:fldChar w:fldCharType="separate"/>
            </w:r>
            <w:r w:rsidR="00A16CFC">
              <w:rPr>
                <w:noProof/>
                <w:webHidden/>
              </w:rPr>
              <w:t>86</w:t>
            </w:r>
            <w:r w:rsidR="00DF46EC">
              <w:rPr>
                <w:noProof/>
                <w:webHidden/>
              </w:rPr>
              <w:fldChar w:fldCharType="end"/>
            </w:r>
          </w:hyperlink>
        </w:p>
        <w:p w14:paraId="1A5C5A09" w14:textId="77777777" w:rsidR="00DF46EC" w:rsidRDefault="00E02FE2">
          <w:pPr>
            <w:pStyle w:val="TM2"/>
            <w:tabs>
              <w:tab w:val="right" w:leader="dot" w:pos="9016"/>
            </w:tabs>
            <w:rPr>
              <w:rFonts w:eastAsiaTheme="minorEastAsia"/>
              <w:noProof/>
              <w:lang w:eastAsia="fr-FR"/>
            </w:rPr>
          </w:pPr>
          <w:hyperlink w:anchor="_Toc94482108" w:history="1">
            <w:r w:rsidR="00DF46EC" w:rsidRPr="00DC2D41">
              <w:rPr>
                <w:rStyle w:val="Lienhypertexte"/>
                <w:rFonts w:ascii="Bernard MT Condensed" w:hAnsi="Bernard MT Condensed"/>
                <w:noProof/>
              </w:rPr>
              <w:t>V.1 - Droits humains</w:t>
            </w:r>
            <w:r w:rsidR="00DF46EC">
              <w:rPr>
                <w:noProof/>
                <w:webHidden/>
              </w:rPr>
              <w:tab/>
            </w:r>
            <w:r w:rsidR="00DF46EC">
              <w:rPr>
                <w:noProof/>
                <w:webHidden/>
              </w:rPr>
              <w:fldChar w:fldCharType="begin"/>
            </w:r>
            <w:r w:rsidR="00DF46EC">
              <w:rPr>
                <w:noProof/>
                <w:webHidden/>
              </w:rPr>
              <w:instrText xml:space="preserve"> PAGEREF _Toc94482108 \h </w:instrText>
            </w:r>
            <w:r w:rsidR="00DF46EC">
              <w:rPr>
                <w:noProof/>
                <w:webHidden/>
              </w:rPr>
            </w:r>
            <w:r w:rsidR="00DF46EC">
              <w:rPr>
                <w:noProof/>
                <w:webHidden/>
              </w:rPr>
              <w:fldChar w:fldCharType="separate"/>
            </w:r>
            <w:r w:rsidR="00A16CFC">
              <w:rPr>
                <w:noProof/>
                <w:webHidden/>
              </w:rPr>
              <w:t>86</w:t>
            </w:r>
            <w:r w:rsidR="00DF46EC">
              <w:rPr>
                <w:noProof/>
                <w:webHidden/>
              </w:rPr>
              <w:fldChar w:fldCharType="end"/>
            </w:r>
          </w:hyperlink>
        </w:p>
        <w:p w14:paraId="63F6CD94" w14:textId="77777777" w:rsidR="00DF46EC" w:rsidRDefault="00E02FE2">
          <w:pPr>
            <w:pStyle w:val="TM2"/>
            <w:tabs>
              <w:tab w:val="right" w:leader="dot" w:pos="9016"/>
            </w:tabs>
            <w:rPr>
              <w:rFonts w:eastAsiaTheme="minorEastAsia"/>
              <w:noProof/>
              <w:lang w:eastAsia="fr-FR"/>
            </w:rPr>
          </w:pPr>
          <w:hyperlink w:anchor="_Toc94482109" w:history="1">
            <w:r w:rsidR="00DF46EC" w:rsidRPr="00DC2D41">
              <w:rPr>
                <w:rStyle w:val="Lienhypertexte"/>
                <w:rFonts w:ascii="Bernard MT Condensed" w:hAnsi="Bernard MT Condensed"/>
                <w:noProof/>
              </w:rPr>
              <w:t>V.2 - Genre</w:t>
            </w:r>
            <w:r w:rsidR="00DF46EC">
              <w:rPr>
                <w:noProof/>
                <w:webHidden/>
              </w:rPr>
              <w:tab/>
            </w:r>
            <w:r w:rsidR="00DF46EC">
              <w:rPr>
                <w:noProof/>
                <w:webHidden/>
              </w:rPr>
              <w:fldChar w:fldCharType="begin"/>
            </w:r>
            <w:r w:rsidR="00DF46EC">
              <w:rPr>
                <w:noProof/>
                <w:webHidden/>
              </w:rPr>
              <w:instrText xml:space="preserve"> PAGEREF _Toc94482109 \h </w:instrText>
            </w:r>
            <w:r w:rsidR="00DF46EC">
              <w:rPr>
                <w:noProof/>
                <w:webHidden/>
              </w:rPr>
            </w:r>
            <w:r w:rsidR="00DF46EC">
              <w:rPr>
                <w:noProof/>
                <w:webHidden/>
              </w:rPr>
              <w:fldChar w:fldCharType="separate"/>
            </w:r>
            <w:r w:rsidR="00A16CFC">
              <w:rPr>
                <w:noProof/>
                <w:webHidden/>
              </w:rPr>
              <w:t>88</w:t>
            </w:r>
            <w:r w:rsidR="00DF46EC">
              <w:rPr>
                <w:noProof/>
                <w:webHidden/>
              </w:rPr>
              <w:fldChar w:fldCharType="end"/>
            </w:r>
          </w:hyperlink>
        </w:p>
        <w:p w14:paraId="0E399D75" w14:textId="77777777" w:rsidR="00DF46EC" w:rsidRDefault="00E02FE2">
          <w:pPr>
            <w:pStyle w:val="TM1"/>
            <w:tabs>
              <w:tab w:val="right" w:leader="dot" w:pos="9016"/>
            </w:tabs>
            <w:rPr>
              <w:rFonts w:eastAsiaTheme="minorEastAsia"/>
              <w:noProof/>
              <w:lang w:eastAsia="fr-FR"/>
            </w:rPr>
          </w:pPr>
          <w:hyperlink w:anchor="_Toc94482110" w:history="1">
            <w:r w:rsidR="00DF46EC" w:rsidRPr="00DC2D41">
              <w:rPr>
                <w:rStyle w:val="Lienhypertexte"/>
                <w:rFonts w:ascii="Bernard MT Condensed" w:hAnsi="Bernard MT Condensed"/>
                <w:noProof/>
              </w:rPr>
              <w:t>VI -  Analyse des vulnérabilités</w:t>
            </w:r>
            <w:r w:rsidR="00DF46EC">
              <w:rPr>
                <w:noProof/>
                <w:webHidden/>
              </w:rPr>
              <w:tab/>
            </w:r>
            <w:r w:rsidR="00DF46EC">
              <w:rPr>
                <w:noProof/>
                <w:webHidden/>
              </w:rPr>
              <w:fldChar w:fldCharType="begin"/>
            </w:r>
            <w:r w:rsidR="00DF46EC">
              <w:rPr>
                <w:noProof/>
                <w:webHidden/>
              </w:rPr>
              <w:instrText xml:space="preserve"> PAGEREF _Toc94482110 \h </w:instrText>
            </w:r>
            <w:r w:rsidR="00DF46EC">
              <w:rPr>
                <w:noProof/>
                <w:webHidden/>
              </w:rPr>
            </w:r>
            <w:r w:rsidR="00DF46EC">
              <w:rPr>
                <w:noProof/>
                <w:webHidden/>
              </w:rPr>
              <w:fldChar w:fldCharType="separate"/>
            </w:r>
            <w:r w:rsidR="00A16CFC">
              <w:rPr>
                <w:noProof/>
                <w:webHidden/>
              </w:rPr>
              <w:t>92</w:t>
            </w:r>
            <w:r w:rsidR="00DF46EC">
              <w:rPr>
                <w:noProof/>
                <w:webHidden/>
              </w:rPr>
              <w:fldChar w:fldCharType="end"/>
            </w:r>
          </w:hyperlink>
        </w:p>
        <w:p w14:paraId="535A3A30" w14:textId="77777777" w:rsidR="00DF46EC" w:rsidRDefault="00E02FE2">
          <w:pPr>
            <w:pStyle w:val="TM1"/>
            <w:tabs>
              <w:tab w:val="right" w:leader="dot" w:pos="9016"/>
            </w:tabs>
            <w:rPr>
              <w:rFonts w:eastAsiaTheme="minorEastAsia"/>
              <w:noProof/>
              <w:lang w:eastAsia="fr-FR"/>
            </w:rPr>
          </w:pPr>
          <w:hyperlink w:anchor="_Toc94482111" w:history="1">
            <w:r w:rsidR="00DF46EC" w:rsidRPr="00DC2D41">
              <w:rPr>
                <w:rStyle w:val="Lienhypertexte"/>
                <w:rFonts w:ascii="Bernard MT Condensed" w:hAnsi="Bernard MT Condensed"/>
                <w:noProof/>
              </w:rPr>
              <w:t>VII - Défis et atouts pour la réalisation des ODD</w:t>
            </w:r>
            <w:r w:rsidR="00DF46EC">
              <w:rPr>
                <w:noProof/>
                <w:webHidden/>
              </w:rPr>
              <w:tab/>
            </w:r>
            <w:r w:rsidR="00DF46EC">
              <w:rPr>
                <w:noProof/>
                <w:webHidden/>
              </w:rPr>
              <w:fldChar w:fldCharType="begin"/>
            </w:r>
            <w:r w:rsidR="00DF46EC">
              <w:rPr>
                <w:noProof/>
                <w:webHidden/>
              </w:rPr>
              <w:instrText xml:space="preserve"> PAGEREF _Toc94482111 \h </w:instrText>
            </w:r>
            <w:r w:rsidR="00DF46EC">
              <w:rPr>
                <w:noProof/>
                <w:webHidden/>
              </w:rPr>
            </w:r>
            <w:r w:rsidR="00DF46EC">
              <w:rPr>
                <w:noProof/>
                <w:webHidden/>
              </w:rPr>
              <w:fldChar w:fldCharType="separate"/>
            </w:r>
            <w:r w:rsidR="00A16CFC">
              <w:rPr>
                <w:noProof/>
                <w:webHidden/>
              </w:rPr>
              <w:t>92</w:t>
            </w:r>
            <w:r w:rsidR="00DF46EC">
              <w:rPr>
                <w:noProof/>
                <w:webHidden/>
              </w:rPr>
              <w:fldChar w:fldCharType="end"/>
            </w:r>
          </w:hyperlink>
        </w:p>
        <w:p w14:paraId="4777357A" w14:textId="77777777" w:rsidR="00DF46EC" w:rsidRDefault="00E02FE2">
          <w:pPr>
            <w:pStyle w:val="TM2"/>
            <w:tabs>
              <w:tab w:val="right" w:leader="dot" w:pos="9016"/>
            </w:tabs>
            <w:rPr>
              <w:rFonts w:eastAsiaTheme="minorEastAsia"/>
              <w:noProof/>
              <w:lang w:eastAsia="fr-FR"/>
            </w:rPr>
          </w:pPr>
          <w:hyperlink w:anchor="_Toc94482112" w:history="1">
            <w:r w:rsidR="00DF46EC" w:rsidRPr="00DC2D41">
              <w:rPr>
                <w:rStyle w:val="Lienhypertexte"/>
                <w:rFonts w:ascii="Bernard MT Condensed" w:hAnsi="Bernard MT Condensed"/>
                <w:noProof/>
              </w:rPr>
              <w:t>VII.1 - Défis</w:t>
            </w:r>
            <w:r w:rsidR="00DF46EC">
              <w:rPr>
                <w:noProof/>
                <w:webHidden/>
              </w:rPr>
              <w:tab/>
            </w:r>
            <w:r w:rsidR="00DF46EC">
              <w:rPr>
                <w:noProof/>
                <w:webHidden/>
              </w:rPr>
              <w:fldChar w:fldCharType="begin"/>
            </w:r>
            <w:r w:rsidR="00DF46EC">
              <w:rPr>
                <w:noProof/>
                <w:webHidden/>
              </w:rPr>
              <w:instrText xml:space="preserve"> PAGEREF _Toc94482112 \h </w:instrText>
            </w:r>
            <w:r w:rsidR="00DF46EC">
              <w:rPr>
                <w:noProof/>
                <w:webHidden/>
              </w:rPr>
            </w:r>
            <w:r w:rsidR="00DF46EC">
              <w:rPr>
                <w:noProof/>
                <w:webHidden/>
              </w:rPr>
              <w:fldChar w:fldCharType="separate"/>
            </w:r>
            <w:r w:rsidR="00A16CFC">
              <w:rPr>
                <w:noProof/>
                <w:webHidden/>
              </w:rPr>
              <w:t>92</w:t>
            </w:r>
            <w:r w:rsidR="00DF46EC">
              <w:rPr>
                <w:noProof/>
                <w:webHidden/>
              </w:rPr>
              <w:fldChar w:fldCharType="end"/>
            </w:r>
          </w:hyperlink>
        </w:p>
        <w:p w14:paraId="434B74B1" w14:textId="77777777" w:rsidR="00DF46EC" w:rsidRDefault="00E02FE2">
          <w:pPr>
            <w:pStyle w:val="TM2"/>
            <w:tabs>
              <w:tab w:val="right" w:leader="dot" w:pos="9016"/>
            </w:tabs>
            <w:rPr>
              <w:rFonts w:eastAsiaTheme="minorEastAsia"/>
              <w:noProof/>
              <w:lang w:eastAsia="fr-FR"/>
            </w:rPr>
          </w:pPr>
          <w:hyperlink w:anchor="_Toc94482113" w:history="1">
            <w:r w:rsidR="00DF46EC" w:rsidRPr="00DC2D41">
              <w:rPr>
                <w:rStyle w:val="Lienhypertexte"/>
                <w:rFonts w:ascii="Bernard MT Condensed" w:hAnsi="Bernard MT Condensed"/>
                <w:noProof/>
              </w:rPr>
              <w:t>VII.2 - Atouts</w:t>
            </w:r>
            <w:r w:rsidR="00DF46EC">
              <w:rPr>
                <w:noProof/>
                <w:webHidden/>
              </w:rPr>
              <w:tab/>
            </w:r>
            <w:r w:rsidR="00DF46EC">
              <w:rPr>
                <w:noProof/>
                <w:webHidden/>
              </w:rPr>
              <w:fldChar w:fldCharType="begin"/>
            </w:r>
            <w:r w:rsidR="00DF46EC">
              <w:rPr>
                <w:noProof/>
                <w:webHidden/>
              </w:rPr>
              <w:instrText xml:space="preserve"> PAGEREF _Toc94482113 \h </w:instrText>
            </w:r>
            <w:r w:rsidR="00DF46EC">
              <w:rPr>
                <w:noProof/>
                <w:webHidden/>
              </w:rPr>
            </w:r>
            <w:r w:rsidR="00DF46EC">
              <w:rPr>
                <w:noProof/>
                <w:webHidden/>
              </w:rPr>
              <w:fldChar w:fldCharType="separate"/>
            </w:r>
            <w:r w:rsidR="00A16CFC">
              <w:rPr>
                <w:noProof/>
                <w:webHidden/>
              </w:rPr>
              <w:t>94</w:t>
            </w:r>
            <w:r w:rsidR="00DF46EC">
              <w:rPr>
                <w:noProof/>
                <w:webHidden/>
              </w:rPr>
              <w:fldChar w:fldCharType="end"/>
            </w:r>
          </w:hyperlink>
        </w:p>
        <w:p w14:paraId="40C88F4E" w14:textId="77777777" w:rsidR="00DF46EC" w:rsidRDefault="00E02FE2">
          <w:pPr>
            <w:pStyle w:val="TM1"/>
            <w:tabs>
              <w:tab w:val="right" w:leader="dot" w:pos="9016"/>
            </w:tabs>
            <w:rPr>
              <w:rFonts w:eastAsiaTheme="minorEastAsia"/>
              <w:noProof/>
              <w:lang w:eastAsia="fr-FR"/>
            </w:rPr>
          </w:pPr>
          <w:hyperlink w:anchor="_Toc94482114" w:history="1">
            <w:r w:rsidR="00DF46EC" w:rsidRPr="00DC2D41">
              <w:rPr>
                <w:rStyle w:val="Lienhypertexte"/>
                <w:rFonts w:ascii="Bernard MT Condensed" w:hAnsi="Bernard MT Condensed"/>
                <w:noProof/>
              </w:rPr>
              <w:t>VIII - Perspectives régionales et nationales du Niger</w:t>
            </w:r>
            <w:r w:rsidR="00DF46EC">
              <w:rPr>
                <w:noProof/>
                <w:webHidden/>
              </w:rPr>
              <w:tab/>
            </w:r>
            <w:r w:rsidR="00DF46EC">
              <w:rPr>
                <w:noProof/>
                <w:webHidden/>
              </w:rPr>
              <w:fldChar w:fldCharType="begin"/>
            </w:r>
            <w:r w:rsidR="00DF46EC">
              <w:rPr>
                <w:noProof/>
                <w:webHidden/>
              </w:rPr>
              <w:instrText xml:space="preserve"> PAGEREF _Toc94482114 \h </w:instrText>
            </w:r>
            <w:r w:rsidR="00DF46EC">
              <w:rPr>
                <w:noProof/>
                <w:webHidden/>
              </w:rPr>
            </w:r>
            <w:r w:rsidR="00DF46EC">
              <w:rPr>
                <w:noProof/>
                <w:webHidden/>
              </w:rPr>
              <w:fldChar w:fldCharType="separate"/>
            </w:r>
            <w:r w:rsidR="00A16CFC">
              <w:rPr>
                <w:noProof/>
                <w:webHidden/>
              </w:rPr>
              <w:t>95</w:t>
            </w:r>
            <w:r w:rsidR="00DF46EC">
              <w:rPr>
                <w:noProof/>
                <w:webHidden/>
              </w:rPr>
              <w:fldChar w:fldCharType="end"/>
            </w:r>
          </w:hyperlink>
        </w:p>
        <w:p w14:paraId="692E777A" w14:textId="77777777" w:rsidR="00DF46EC" w:rsidRDefault="00E02FE2">
          <w:pPr>
            <w:pStyle w:val="TM2"/>
            <w:tabs>
              <w:tab w:val="right" w:leader="dot" w:pos="9016"/>
            </w:tabs>
            <w:rPr>
              <w:rFonts w:eastAsiaTheme="minorEastAsia"/>
              <w:noProof/>
              <w:lang w:eastAsia="fr-FR"/>
            </w:rPr>
          </w:pPr>
          <w:hyperlink w:anchor="_Toc94482115" w:history="1">
            <w:r w:rsidR="00DF46EC" w:rsidRPr="00DC2D41">
              <w:rPr>
                <w:rStyle w:val="Lienhypertexte"/>
                <w:rFonts w:ascii="Bernard MT Condensed" w:hAnsi="Bernard MT Condensed"/>
                <w:noProof/>
              </w:rPr>
              <w:t>VIII.1 - Perspectives régionales</w:t>
            </w:r>
            <w:r w:rsidR="00DF46EC">
              <w:rPr>
                <w:noProof/>
                <w:webHidden/>
              </w:rPr>
              <w:tab/>
            </w:r>
            <w:r w:rsidR="00DF46EC">
              <w:rPr>
                <w:noProof/>
                <w:webHidden/>
              </w:rPr>
              <w:fldChar w:fldCharType="begin"/>
            </w:r>
            <w:r w:rsidR="00DF46EC">
              <w:rPr>
                <w:noProof/>
                <w:webHidden/>
              </w:rPr>
              <w:instrText xml:space="preserve"> PAGEREF _Toc94482115 \h </w:instrText>
            </w:r>
            <w:r w:rsidR="00DF46EC">
              <w:rPr>
                <w:noProof/>
                <w:webHidden/>
              </w:rPr>
            </w:r>
            <w:r w:rsidR="00DF46EC">
              <w:rPr>
                <w:noProof/>
                <w:webHidden/>
              </w:rPr>
              <w:fldChar w:fldCharType="separate"/>
            </w:r>
            <w:r w:rsidR="00A16CFC">
              <w:rPr>
                <w:noProof/>
                <w:webHidden/>
              </w:rPr>
              <w:t>95</w:t>
            </w:r>
            <w:r w:rsidR="00DF46EC">
              <w:rPr>
                <w:noProof/>
                <w:webHidden/>
              </w:rPr>
              <w:fldChar w:fldCharType="end"/>
            </w:r>
          </w:hyperlink>
        </w:p>
        <w:p w14:paraId="36AA82D9" w14:textId="77777777" w:rsidR="00DF46EC" w:rsidRDefault="00E02FE2">
          <w:pPr>
            <w:pStyle w:val="TM2"/>
            <w:tabs>
              <w:tab w:val="right" w:leader="dot" w:pos="9016"/>
            </w:tabs>
            <w:rPr>
              <w:rFonts w:eastAsiaTheme="minorEastAsia"/>
              <w:noProof/>
              <w:lang w:eastAsia="fr-FR"/>
            </w:rPr>
          </w:pPr>
          <w:hyperlink w:anchor="_Toc94482116" w:history="1">
            <w:r w:rsidR="00DF46EC" w:rsidRPr="00DC2D41">
              <w:rPr>
                <w:rStyle w:val="Lienhypertexte"/>
                <w:rFonts w:ascii="Bernard MT Condensed" w:hAnsi="Bernard MT Condensed"/>
                <w:noProof/>
              </w:rPr>
              <w:t>VIII.2 - Perspectives nationales</w:t>
            </w:r>
            <w:r w:rsidR="00DF46EC">
              <w:rPr>
                <w:noProof/>
                <w:webHidden/>
              </w:rPr>
              <w:tab/>
            </w:r>
            <w:r w:rsidR="00DF46EC">
              <w:rPr>
                <w:noProof/>
                <w:webHidden/>
              </w:rPr>
              <w:fldChar w:fldCharType="begin"/>
            </w:r>
            <w:r w:rsidR="00DF46EC">
              <w:rPr>
                <w:noProof/>
                <w:webHidden/>
              </w:rPr>
              <w:instrText xml:space="preserve"> PAGEREF _Toc94482116 \h </w:instrText>
            </w:r>
            <w:r w:rsidR="00DF46EC">
              <w:rPr>
                <w:noProof/>
                <w:webHidden/>
              </w:rPr>
            </w:r>
            <w:r w:rsidR="00DF46EC">
              <w:rPr>
                <w:noProof/>
                <w:webHidden/>
              </w:rPr>
              <w:fldChar w:fldCharType="separate"/>
            </w:r>
            <w:r w:rsidR="00A16CFC">
              <w:rPr>
                <w:noProof/>
                <w:webHidden/>
              </w:rPr>
              <w:t>95</w:t>
            </w:r>
            <w:r w:rsidR="00DF46EC">
              <w:rPr>
                <w:noProof/>
                <w:webHidden/>
              </w:rPr>
              <w:fldChar w:fldCharType="end"/>
            </w:r>
          </w:hyperlink>
        </w:p>
        <w:p w14:paraId="5B734059" w14:textId="466A9E84" w:rsidR="00DF46EC" w:rsidRDefault="00DF46EC">
          <w:r>
            <w:rPr>
              <w:b/>
              <w:bCs/>
            </w:rPr>
            <w:fldChar w:fldCharType="end"/>
          </w:r>
        </w:p>
      </w:sdtContent>
    </w:sdt>
    <w:p w14:paraId="6E6C4FFE" w14:textId="77777777" w:rsidR="00DF46EC" w:rsidRPr="00DF46EC" w:rsidRDefault="00DF46EC" w:rsidP="00DF46EC">
      <w:bookmarkStart w:id="0" w:name="_Toc94480125"/>
      <w:bookmarkStart w:id="1" w:name="_Toc94481786"/>
      <w:bookmarkStart w:id="2" w:name="_Toc94482049"/>
    </w:p>
    <w:p w14:paraId="797601C5" w14:textId="77777777" w:rsidR="0028280C" w:rsidRPr="00E25B1F" w:rsidRDefault="0028280C" w:rsidP="00E25B1F">
      <w:pPr>
        <w:pStyle w:val="Titre1"/>
        <w:rPr>
          <w:rFonts w:ascii="Bernard MT Condensed" w:hAnsi="Bernard MT Condensed" w:cs="Times New Roman"/>
          <w:sz w:val="28"/>
          <w:szCs w:val="28"/>
        </w:rPr>
      </w:pPr>
      <w:r w:rsidRPr="00E25B1F">
        <w:rPr>
          <w:rFonts w:ascii="Bernard MT Condensed" w:hAnsi="Bernard MT Condensed"/>
          <w:sz w:val="28"/>
          <w:szCs w:val="28"/>
        </w:rPr>
        <w:lastRenderedPageBreak/>
        <w:t>Sigles &amp; acronymes</w:t>
      </w:r>
      <w:bookmarkEnd w:id="0"/>
      <w:bookmarkEnd w:id="1"/>
      <w:bookmarkEnd w:id="2"/>
      <w:r w:rsidRPr="00E25B1F">
        <w:rPr>
          <w:rFonts w:ascii="Bernard MT Condensed" w:hAnsi="Bernard MT Condensed"/>
          <w:sz w:val="28"/>
          <w:szCs w:val="28"/>
        </w:rPr>
        <w:t xml:space="preserve"> </w:t>
      </w:r>
      <w:r w:rsidRPr="00E25B1F">
        <w:rPr>
          <w:rFonts w:ascii="Bernard MT Condensed" w:hAnsi="Bernard MT Condensed" w:cs="Times New Roman"/>
          <w:sz w:val="28"/>
          <w:szCs w:val="28"/>
        </w:rPr>
        <w:t xml:space="preserve"> </w:t>
      </w:r>
    </w:p>
    <w:p w14:paraId="3F2ED4AF" w14:textId="77777777" w:rsidR="0028280C" w:rsidRPr="00C059E4" w:rsidRDefault="0028280C" w:rsidP="0028280C"/>
    <w:tbl>
      <w:tblPr>
        <w:tblW w:w="5000" w:type="pct"/>
        <w:tblCellMar>
          <w:left w:w="70" w:type="dxa"/>
          <w:right w:w="70" w:type="dxa"/>
        </w:tblCellMar>
        <w:tblLook w:val="04A0" w:firstRow="1" w:lastRow="0" w:firstColumn="1" w:lastColumn="0" w:noHBand="0" w:noVBand="1"/>
      </w:tblPr>
      <w:tblGrid>
        <w:gridCol w:w="1729"/>
        <w:gridCol w:w="7297"/>
      </w:tblGrid>
      <w:tr w:rsidR="0028280C" w:rsidRPr="001424EF" w14:paraId="59DC1538" w14:textId="77777777" w:rsidTr="00E43F48">
        <w:trPr>
          <w:trHeight w:val="315"/>
        </w:trPr>
        <w:tc>
          <w:tcPr>
            <w:tcW w:w="811" w:type="pct"/>
            <w:shd w:val="clear" w:color="auto" w:fill="auto"/>
            <w:vAlign w:val="center"/>
            <w:hideMark/>
          </w:tcPr>
          <w:p w14:paraId="02A209A1" w14:textId="77777777" w:rsidR="0028280C" w:rsidRPr="001424EF" w:rsidRDefault="0028280C" w:rsidP="00E43F48">
            <w:pPr>
              <w:spacing w:after="0" w:line="240" w:lineRule="auto"/>
              <w:rPr>
                <w:rFonts w:ascii="Times New Roman" w:eastAsia="Times New Roman" w:hAnsi="Times New Roman" w:cs="Times New Roman"/>
                <w:b/>
                <w:bCs/>
                <w:color w:val="000000"/>
                <w:lang w:eastAsia="fr-FR"/>
              </w:rPr>
            </w:pPr>
            <w:r w:rsidRPr="001424EF">
              <w:rPr>
                <w:rFonts w:ascii="Times New Roman" w:eastAsia="Times New Roman" w:hAnsi="Times New Roman" w:cs="Times New Roman"/>
                <w:b/>
                <w:bCs/>
                <w:color w:val="000000"/>
                <w:lang w:eastAsia="fr-FR"/>
              </w:rPr>
              <w:t xml:space="preserve">Sigle </w:t>
            </w:r>
          </w:p>
        </w:tc>
        <w:tc>
          <w:tcPr>
            <w:tcW w:w="4189" w:type="pct"/>
            <w:shd w:val="clear" w:color="auto" w:fill="auto"/>
            <w:vAlign w:val="center"/>
            <w:hideMark/>
          </w:tcPr>
          <w:p w14:paraId="1D5826FA" w14:textId="77777777" w:rsidR="0028280C" w:rsidRPr="001424EF" w:rsidRDefault="0028280C" w:rsidP="00E43F48">
            <w:pPr>
              <w:spacing w:after="0" w:line="240" w:lineRule="auto"/>
              <w:rPr>
                <w:rFonts w:ascii="Times New Roman" w:eastAsia="Times New Roman" w:hAnsi="Times New Roman" w:cs="Times New Roman"/>
                <w:b/>
                <w:bCs/>
                <w:color w:val="000000"/>
                <w:lang w:eastAsia="fr-FR"/>
              </w:rPr>
            </w:pPr>
            <w:r w:rsidRPr="001424EF">
              <w:rPr>
                <w:rFonts w:ascii="Times New Roman" w:eastAsia="Times New Roman" w:hAnsi="Times New Roman" w:cs="Times New Roman"/>
                <w:b/>
                <w:bCs/>
                <w:color w:val="000000"/>
                <w:lang w:eastAsia="fr-FR"/>
              </w:rPr>
              <w:t xml:space="preserve">Abréviation </w:t>
            </w:r>
          </w:p>
        </w:tc>
      </w:tr>
      <w:tr w:rsidR="0028280C" w:rsidRPr="001424EF" w14:paraId="5F9A5FEF" w14:textId="77777777" w:rsidTr="00E43F48">
        <w:trPr>
          <w:trHeight w:val="315"/>
        </w:trPr>
        <w:tc>
          <w:tcPr>
            <w:tcW w:w="811" w:type="pct"/>
            <w:shd w:val="clear" w:color="auto" w:fill="auto"/>
            <w:vAlign w:val="center"/>
            <w:hideMark/>
          </w:tcPr>
          <w:p w14:paraId="6B26F25D"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AIC</w:t>
            </w:r>
          </w:p>
        </w:tc>
        <w:tc>
          <w:tcPr>
            <w:tcW w:w="4189" w:type="pct"/>
            <w:shd w:val="clear" w:color="auto" w:fill="auto"/>
            <w:vAlign w:val="center"/>
            <w:hideMark/>
          </w:tcPr>
          <w:p w14:paraId="502CBEA3"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d’Agriculture Intelligente face au Climat</w:t>
            </w:r>
          </w:p>
        </w:tc>
      </w:tr>
      <w:tr w:rsidR="0028280C" w:rsidRPr="001424EF" w14:paraId="2A0C9FF9" w14:textId="77777777" w:rsidTr="00E43F48">
        <w:trPr>
          <w:trHeight w:val="315"/>
        </w:trPr>
        <w:tc>
          <w:tcPr>
            <w:tcW w:w="811" w:type="pct"/>
            <w:shd w:val="clear" w:color="auto" w:fill="auto"/>
            <w:vAlign w:val="center"/>
            <w:hideMark/>
          </w:tcPr>
          <w:p w14:paraId="405F432B"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ANFICT</w:t>
            </w:r>
          </w:p>
        </w:tc>
        <w:tc>
          <w:tcPr>
            <w:tcW w:w="4189" w:type="pct"/>
            <w:shd w:val="clear" w:color="auto" w:fill="auto"/>
            <w:vAlign w:val="center"/>
            <w:hideMark/>
          </w:tcPr>
          <w:p w14:paraId="21A09F51"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Agence Nationale de Financement des Collectivités Territoriales</w:t>
            </w:r>
          </w:p>
        </w:tc>
      </w:tr>
      <w:tr w:rsidR="0028280C" w:rsidRPr="001424EF" w14:paraId="39331589" w14:textId="77777777" w:rsidTr="00E43F48">
        <w:trPr>
          <w:trHeight w:val="315"/>
        </w:trPr>
        <w:tc>
          <w:tcPr>
            <w:tcW w:w="811" w:type="pct"/>
            <w:shd w:val="clear" w:color="auto" w:fill="auto"/>
            <w:vAlign w:val="center"/>
            <w:hideMark/>
          </w:tcPr>
          <w:p w14:paraId="4161DA1D"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ANJE</w:t>
            </w:r>
          </w:p>
        </w:tc>
        <w:tc>
          <w:tcPr>
            <w:tcW w:w="4189" w:type="pct"/>
            <w:shd w:val="clear" w:color="auto" w:fill="auto"/>
            <w:vAlign w:val="center"/>
            <w:hideMark/>
          </w:tcPr>
          <w:p w14:paraId="61F96F63"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Alimentation du Nourrisson et du Jeune Enfant</w:t>
            </w:r>
          </w:p>
        </w:tc>
      </w:tr>
      <w:tr w:rsidR="0028280C" w:rsidRPr="001424EF" w14:paraId="7EAD8C63" w14:textId="77777777" w:rsidTr="00E43F48">
        <w:trPr>
          <w:trHeight w:val="315"/>
        </w:trPr>
        <w:tc>
          <w:tcPr>
            <w:tcW w:w="811" w:type="pct"/>
            <w:shd w:val="clear" w:color="auto" w:fill="auto"/>
            <w:vAlign w:val="center"/>
            <w:hideMark/>
          </w:tcPr>
          <w:p w14:paraId="77CE0A2C"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ANSI</w:t>
            </w:r>
          </w:p>
        </w:tc>
        <w:tc>
          <w:tcPr>
            <w:tcW w:w="4189" w:type="pct"/>
            <w:shd w:val="clear" w:color="auto" w:fill="auto"/>
            <w:vAlign w:val="center"/>
            <w:hideMark/>
          </w:tcPr>
          <w:p w14:paraId="36693F48"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Agence Nationale pour la Société de l'Information</w:t>
            </w:r>
          </w:p>
        </w:tc>
      </w:tr>
      <w:tr w:rsidR="0028280C" w:rsidRPr="001424EF" w14:paraId="06B164ED" w14:textId="77777777" w:rsidTr="00E43F48">
        <w:trPr>
          <w:trHeight w:val="315"/>
        </w:trPr>
        <w:tc>
          <w:tcPr>
            <w:tcW w:w="811" w:type="pct"/>
            <w:shd w:val="clear" w:color="auto" w:fill="auto"/>
            <w:vAlign w:val="center"/>
            <w:hideMark/>
          </w:tcPr>
          <w:p w14:paraId="62EFACFF"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APCA</w:t>
            </w:r>
          </w:p>
        </w:tc>
        <w:tc>
          <w:tcPr>
            <w:tcW w:w="4189" w:type="pct"/>
            <w:shd w:val="clear" w:color="auto" w:fill="auto"/>
            <w:vAlign w:val="center"/>
            <w:hideMark/>
          </w:tcPr>
          <w:p w14:paraId="1FCC965E"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Agence de Promotion du Conseil Agricole</w:t>
            </w:r>
          </w:p>
        </w:tc>
      </w:tr>
      <w:tr w:rsidR="0028280C" w:rsidRPr="001424EF" w14:paraId="0A072103" w14:textId="77777777" w:rsidTr="00E43F48">
        <w:trPr>
          <w:trHeight w:val="315"/>
        </w:trPr>
        <w:tc>
          <w:tcPr>
            <w:tcW w:w="811" w:type="pct"/>
            <w:shd w:val="clear" w:color="auto" w:fill="auto"/>
            <w:vAlign w:val="center"/>
            <w:hideMark/>
          </w:tcPr>
          <w:p w14:paraId="5E79843B"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ARC</w:t>
            </w:r>
          </w:p>
        </w:tc>
        <w:tc>
          <w:tcPr>
            <w:tcW w:w="4189" w:type="pct"/>
            <w:shd w:val="clear" w:color="auto" w:fill="auto"/>
            <w:vAlign w:val="center"/>
            <w:hideMark/>
          </w:tcPr>
          <w:p w14:paraId="76D2A4BF" w14:textId="77777777" w:rsidR="0028280C" w:rsidRPr="001424EF" w:rsidRDefault="0028280C" w:rsidP="00E43F48">
            <w:pPr>
              <w:spacing w:after="0" w:line="240" w:lineRule="auto"/>
              <w:rPr>
                <w:rFonts w:ascii="Times New Roman" w:eastAsia="Times New Roman" w:hAnsi="Times New Roman" w:cs="Times New Roman"/>
                <w:color w:val="26282A"/>
                <w:lang w:eastAsia="fr-FR"/>
              </w:rPr>
            </w:pPr>
            <w:r w:rsidRPr="001424EF">
              <w:rPr>
                <w:rFonts w:ascii="Times New Roman" w:eastAsia="Times New Roman" w:hAnsi="Times New Roman" w:cs="Times New Roman"/>
                <w:color w:val="26282A"/>
                <w:lang w:eastAsia="fr-FR"/>
              </w:rPr>
              <w:t>Africa Risk Capacity  (</w:t>
            </w:r>
            <w:r w:rsidRPr="001424EF">
              <w:rPr>
                <w:rFonts w:ascii="Times New Roman" w:eastAsia="Times New Roman" w:hAnsi="Times New Roman" w:cs="Times New Roman"/>
                <w:color w:val="000000"/>
                <w:lang w:eastAsia="fr-FR"/>
              </w:rPr>
              <w:t>Mutuelle panafricaine des risques)</w:t>
            </w:r>
          </w:p>
        </w:tc>
      </w:tr>
      <w:tr w:rsidR="0028280C" w:rsidRPr="001424EF" w14:paraId="7E6CED27" w14:textId="77777777" w:rsidTr="00E43F48">
        <w:trPr>
          <w:trHeight w:val="315"/>
        </w:trPr>
        <w:tc>
          <w:tcPr>
            <w:tcW w:w="811" w:type="pct"/>
            <w:shd w:val="clear" w:color="auto" w:fill="auto"/>
            <w:vAlign w:val="center"/>
            <w:hideMark/>
          </w:tcPr>
          <w:p w14:paraId="4E8A19AD"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BAGRI</w:t>
            </w:r>
          </w:p>
        </w:tc>
        <w:tc>
          <w:tcPr>
            <w:tcW w:w="4189" w:type="pct"/>
            <w:shd w:val="clear" w:color="auto" w:fill="auto"/>
            <w:vAlign w:val="center"/>
            <w:hideMark/>
          </w:tcPr>
          <w:p w14:paraId="2307D46C"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Banque Agricole du Niger</w:t>
            </w:r>
          </w:p>
        </w:tc>
      </w:tr>
      <w:tr w:rsidR="0028280C" w:rsidRPr="001424EF" w14:paraId="2E30DE98" w14:textId="77777777" w:rsidTr="00E43F48">
        <w:trPr>
          <w:trHeight w:val="315"/>
        </w:trPr>
        <w:tc>
          <w:tcPr>
            <w:tcW w:w="811" w:type="pct"/>
            <w:shd w:val="clear" w:color="auto" w:fill="auto"/>
            <w:vAlign w:val="center"/>
            <w:hideMark/>
          </w:tcPr>
          <w:p w14:paraId="33D2DAAB"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CC</w:t>
            </w:r>
          </w:p>
        </w:tc>
        <w:tc>
          <w:tcPr>
            <w:tcW w:w="4189" w:type="pct"/>
            <w:shd w:val="clear" w:color="auto" w:fill="auto"/>
            <w:vAlign w:val="center"/>
            <w:hideMark/>
          </w:tcPr>
          <w:p w14:paraId="3B1BA25F"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Changements Climatiques</w:t>
            </w:r>
          </w:p>
        </w:tc>
      </w:tr>
      <w:tr w:rsidR="0028280C" w:rsidRPr="001424EF" w14:paraId="3D6FFD4E" w14:textId="77777777" w:rsidTr="00E43F48">
        <w:trPr>
          <w:trHeight w:val="315"/>
        </w:trPr>
        <w:tc>
          <w:tcPr>
            <w:tcW w:w="811" w:type="pct"/>
            <w:shd w:val="clear" w:color="auto" w:fill="auto"/>
            <w:vAlign w:val="center"/>
            <w:hideMark/>
          </w:tcPr>
          <w:p w14:paraId="23D83D05"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CDN</w:t>
            </w:r>
          </w:p>
        </w:tc>
        <w:tc>
          <w:tcPr>
            <w:tcW w:w="4189" w:type="pct"/>
            <w:shd w:val="clear" w:color="auto" w:fill="auto"/>
            <w:vAlign w:val="center"/>
            <w:hideMark/>
          </w:tcPr>
          <w:p w14:paraId="39A9AD74"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Contribution Déterminée au niveau National</w:t>
            </w:r>
          </w:p>
        </w:tc>
      </w:tr>
      <w:tr w:rsidR="0028280C" w:rsidRPr="001424EF" w14:paraId="166FBC6E" w14:textId="77777777" w:rsidTr="00E43F48">
        <w:trPr>
          <w:trHeight w:val="315"/>
        </w:trPr>
        <w:tc>
          <w:tcPr>
            <w:tcW w:w="811" w:type="pct"/>
            <w:shd w:val="clear" w:color="auto" w:fill="auto"/>
            <w:vAlign w:val="center"/>
            <w:hideMark/>
          </w:tcPr>
          <w:p w14:paraId="0C555BBA"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CES/DRS</w:t>
            </w:r>
          </w:p>
        </w:tc>
        <w:tc>
          <w:tcPr>
            <w:tcW w:w="4189" w:type="pct"/>
            <w:shd w:val="clear" w:color="auto" w:fill="auto"/>
            <w:vAlign w:val="center"/>
            <w:hideMark/>
          </w:tcPr>
          <w:p w14:paraId="41AC9F80"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Conservation des Eaux du Sol/Défende et Restauration des Sols</w:t>
            </w:r>
          </w:p>
        </w:tc>
      </w:tr>
      <w:tr w:rsidR="0028280C" w:rsidRPr="001424EF" w14:paraId="399AD3F3" w14:textId="77777777" w:rsidTr="00E43F48">
        <w:trPr>
          <w:trHeight w:val="315"/>
        </w:trPr>
        <w:tc>
          <w:tcPr>
            <w:tcW w:w="811" w:type="pct"/>
            <w:shd w:val="clear" w:color="auto" w:fill="auto"/>
            <w:vAlign w:val="center"/>
            <w:hideMark/>
          </w:tcPr>
          <w:p w14:paraId="579C9403"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CNSC</w:t>
            </w:r>
          </w:p>
        </w:tc>
        <w:tc>
          <w:tcPr>
            <w:tcW w:w="4189" w:type="pct"/>
            <w:shd w:val="clear" w:color="auto" w:fill="auto"/>
            <w:vAlign w:val="center"/>
            <w:hideMark/>
          </w:tcPr>
          <w:p w14:paraId="2CE71EF1"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Cadre national sur les services climatologiques</w:t>
            </w:r>
          </w:p>
        </w:tc>
      </w:tr>
      <w:tr w:rsidR="0028280C" w:rsidRPr="001424EF" w14:paraId="7D063500" w14:textId="77777777" w:rsidTr="00E43F48">
        <w:trPr>
          <w:trHeight w:val="315"/>
        </w:trPr>
        <w:tc>
          <w:tcPr>
            <w:tcW w:w="811" w:type="pct"/>
            <w:shd w:val="clear" w:color="auto" w:fill="auto"/>
            <w:vAlign w:val="center"/>
            <w:hideMark/>
          </w:tcPr>
          <w:p w14:paraId="03C1E74D"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CS/GDT</w:t>
            </w:r>
          </w:p>
        </w:tc>
        <w:tc>
          <w:tcPr>
            <w:tcW w:w="4189" w:type="pct"/>
            <w:shd w:val="clear" w:color="auto" w:fill="auto"/>
            <w:vAlign w:val="center"/>
            <w:hideMark/>
          </w:tcPr>
          <w:p w14:paraId="40D3162B"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Cadre Stratégique de la Gestion Des Terres</w:t>
            </w:r>
          </w:p>
        </w:tc>
      </w:tr>
      <w:tr w:rsidR="0028280C" w:rsidRPr="001424EF" w14:paraId="4094337F" w14:textId="77777777" w:rsidTr="00E43F48">
        <w:trPr>
          <w:trHeight w:val="315"/>
        </w:trPr>
        <w:tc>
          <w:tcPr>
            <w:tcW w:w="811" w:type="pct"/>
            <w:shd w:val="clear" w:color="auto" w:fill="auto"/>
            <w:vAlign w:val="center"/>
            <w:hideMark/>
          </w:tcPr>
          <w:p w14:paraId="722C48D8"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FISAN</w:t>
            </w:r>
          </w:p>
        </w:tc>
        <w:tc>
          <w:tcPr>
            <w:tcW w:w="4189" w:type="pct"/>
            <w:shd w:val="clear" w:color="auto" w:fill="auto"/>
            <w:vAlign w:val="center"/>
            <w:hideMark/>
          </w:tcPr>
          <w:p w14:paraId="27F36C73"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Fonds d'Investissement pour la Sécurité Alimentaire et Nutritionnelle</w:t>
            </w:r>
          </w:p>
        </w:tc>
      </w:tr>
      <w:tr w:rsidR="0028280C" w:rsidRPr="001424EF" w14:paraId="783A522C" w14:textId="77777777" w:rsidTr="00E43F48">
        <w:trPr>
          <w:trHeight w:val="315"/>
        </w:trPr>
        <w:tc>
          <w:tcPr>
            <w:tcW w:w="811" w:type="pct"/>
            <w:shd w:val="clear" w:color="auto" w:fill="auto"/>
            <w:vAlign w:val="center"/>
            <w:hideMark/>
          </w:tcPr>
          <w:p w14:paraId="10886010"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GDTE</w:t>
            </w:r>
          </w:p>
        </w:tc>
        <w:tc>
          <w:tcPr>
            <w:tcW w:w="4189" w:type="pct"/>
            <w:shd w:val="clear" w:color="auto" w:fill="auto"/>
            <w:vAlign w:val="center"/>
            <w:hideMark/>
          </w:tcPr>
          <w:p w14:paraId="5AD9FFE1"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Gestion Durable des Terres et des Eaux</w:t>
            </w:r>
          </w:p>
        </w:tc>
      </w:tr>
      <w:tr w:rsidR="0028280C" w:rsidRPr="001424EF" w14:paraId="05228288" w14:textId="77777777" w:rsidTr="00E43F48">
        <w:trPr>
          <w:trHeight w:val="375"/>
        </w:trPr>
        <w:tc>
          <w:tcPr>
            <w:tcW w:w="811" w:type="pct"/>
            <w:shd w:val="clear" w:color="auto" w:fill="auto"/>
            <w:vAlign w:val="center"/>
            <w:hideMark/>
          </w:tcPr>
          <w:p w14:paraId="706F505A"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GgCO</w:t>
            </w:r>
            <w:r w:rsidRPr="001424EF">
              <w:rPr>
                <w:rFonts w:ascii="Times New Roman" w:eastAsia="Times New Roman" w:hAnsi="Times New Roman" w:cs="Times New Roman"/>
                <w:color w:val="000000"/>
                <w:vertAlign w:val="subscript"/>
                <w:lang w:eastAsia="fr-FR"/>
              </w:rPr>
              <w:t>2</w:t>
            </w:r>
            <w:r w:rsidRPr="001424EF">
              <w:rPr>
                <w:rFonts w:ascii="Times New Roman" w:eastAsia="Times New Roman" w:hAnsi="Times New Roman" w:cs="Times New Roman"/>
                <w:color w:val="000000"/>
                <w:lang w:eastAsia="fr-FR"/>
              </w:rPr>
              <w:t>eq</w:t>
            </w:r>
          </w:p>
        </w:tc>
        <w:tc>
          <w:tcPr>
            <w:tcW w:w="4189" w:type="pct"/>
            <w:shd w:val="clear" w:color="auto" w:fill="auto"/>
            <w:vAlign w:val="center"/>
            <w:hideMark/>
          </w:tcPr>
          <w:p w14:paraId="796A7BF6"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Giga-grammes équivalent Gaz Carbonique</w:t>
            </w:r>
          </w:p>
        </w:tc>
      </w:tr>
      <w:tr w:rsidR="0028280C" w:rsidRPr="001424EF" w14:paraId="5656792C" w14:textId="77777777" w:rsidTr="00E43F48">
        <w:trPr>
          <w:trHeight w:val="315"/>
        </w:trPr>
        <w:tc>
          <w:tcPr>
            <w:tcW w:w="811" w:type="pct"/>
            <w:shd w:val="clear" w:color="auto" w:fill="auto"/>
            <w:vAlign w:val="center"/>
            <w:hideMark/>
          </w:tcPr>
          <w:p w14:paraId="17F6601E"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GPL</w:t>
            </w:r>
          </w:p>
        </w:tc>
        <w:tc>
          <w:tcPr>
            <w:tcW w:w="4189" w:type="pct"/>
            <w:shd w:val="clear" w:color="auto" w:fill="auto"/>
            <w:vAlign w:val="center"/>
            <w:hideMark/>
          </w:tcPr>
          <w:p w14:paraId="61D22807"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Gaz de Pétrole Liquéfié</w:t>
            </w:r>
          </w:p>
        </w:tc>
      </w:tr>
      <w:tr w:rsidR="0028280C" w:rsidRPr="001424EF" w14:paraId="79CD10B6" w14:textId="77777777" w:rsidTr="00E43F48">
        <w:trPr>
          <w:trHeight w:val="315"/>
        </w:trPr>
        <w:tc>
          <w:tcPr>
            <w:tcW w:w="811" w:type="pct"/>
            <w:shd w:val="clear" w:color="auto" w:fill="auto"/>
            <w:vAlign w:val="center"/>
            <w:hideMark/>
          </w:tcPr>
          <w:p w14:paraId="4E7364A6"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Ha</w:t>
            </w:r>
          </w:p>
        </w:tc>
        <w:tc>
          <w:tcPr>
            <w:tcW w:w="4189" w:type="pct"/>
            <w:shd w:val="clear" w:color="auto" w:fill="auto"/>
            <w:vAlign w:val="center"/>
            <w:hideMark/>
          </w:tcPr>
          <w:p w14:paraId="3BE92213"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Hectares</w:t>
            </w:r>
          </w:p>
        </w:tc>
      </w:tr>
      <w:tr w:rsidR="0028280C" w:rsidRPr="001424EF" w14:paraId="008C65EF" w14:textId="77777777" w:rsidTr="00E43F48">
        <w:trPr>
          <w:trHeight w:val="315"/>
        </w:trPr>
        <w:tc>
          <w:tcPr>
            <w:tcW w:w="811" w:type="pct"/>
            <w:shd w:val="clear" w:color="auto" w:fill="auto"/>
            <w:vAlign w:val="center"/>
            <w:hideMark/>
          </w:tcPr>
          <w:p w14:paraId="4B06FFD7"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I3N</w:t>
            </w:r>
          </w:p>
        </w:tc>
        <w:tc>
          <w:tcPr>
            <w:tcW w:w="4189" w:type="pct"/>
            <w:shd w:val="clear" w:color="auto" w:fill="auto"/>
            <w:vAlign w:val="center"/>
            <w:hideMark/>
          </w:tcPr>
          <w:p w14:paraId="6691C055"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Initiative 3N, les Nigériens Nourrissent les Nigériens</w:t>
            </w:r>
          </w:p>
        </w:tc>
      </w:tr>
      <w:tr w:rsidR="0028280C" w:rsidRPr="001424EF" w14:paraId="33D651DC" w14:textId="77777777" w:rsidTr="00E43F48">
        <w:trPr>
          <w:trHeight w:val="315"/>
        </w:trPr>
        <w:tc>
          <w:tcPr>
            <w:tcW w:w="811" w:type="pct"/>
            <w:shd w:val="clear" w:color="auto" w:fill="auto"/>
            <w:vAlign w:val="center"/>
            <w:hideMark/>
          </w:tcPr>
          <w:p w14:paraId="252F2844"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INS</w:t>
            </w:r>
          </w:p>
        </w:tc>
        <w:tc>
          <w:tcPr>
            <w:tcW w:w="4189" w:type="pct"/>
            <w:shd w:val="clear" w:color="auto" w:fill="auto"/>
            <w:vAlign w:val="center"/>
            <w:hideMark/>
          </w:tcPr>
          <w:p w14:paraId="1D287327"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Institut National des Statistiques</w:t>
            </w:r>
          </w:p>
        </w:tc>
      </w:tr>
      <w:tr w:rsidR="0028280C" w:rsidRPr="001424EF" w14:paraId="414B76BB" w14:textId="77777777" w:rsidTr="00E43F48">
        <w:trPr>
          <w:trHeight w:val="315"/>
        </w:trPr>
        <w:tc>
          <w:tcPr>
            <w:tcW w:w="811" w:type="pct"/>
            <w:shd w:val="clear" w:color="auto" w:fill="auto"/>
            <w:vAlign w:val="center"/>
            <w:hideMark/>
          </w:tcPr>
          <w:p w14:paraId="400F26F9"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KANDADJI</w:t>
            </w:r>
          </w:p>
        </w:tc>
        <w:tc>
          <w:tcPr>
            <w:tcW w:w="4189" w:type="pct"/>
            <w:shd w:val="clear" w:color="auto" w:fill="auto"/>
            <w:vAlign w:val="center"/>
            <w:hideMark/>
          </w:tcPr>
          <w:p w14:paraId="2056E993"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Programme Kandadji pour la mise en valeur des ressources hydriques dans le bassin du Niger</w:t>
            </w:r>
          </w:p>
        </w:tc>
      </w:tr>
      <w:tr w:rsidR="0028280C" w:rsidRPr="001424EF" w14:paraId="7FEC70D6" w14:textId="77777777" w:rsidTr="00E43F48">
        <w:trPr>
          <w:trHeight w:val="315"/>
        </w:trPr>
        <w:tc>
          <w:tcPr>
            <w:tcW w:w="811" w:type="pct"/>
            <w:shd w:val="clear" w:color="auto" w:fill="auto"/>
            <w:vAlign w:val="center"/>
            <w:hideMark/>
          </w:tcPr>
          <w:p w14:paraId="0716C4F8"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KgMS</w:t>
            </w:r>
          </w:p>
        </w:tc>
        <w:tc>
          <w:tcPr>
            <w:tcW w:w="4189" w:type="pct"/>
            <w:shd w:val="clear" w:color="auto" w:fill="auto"/>
            <w:vAlign w:val="center"/>
            <w:hideMark/>
          </w:tcPr>
          <w:p w14:paraId="0F8F1A31"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Kilogramme Matière Sèche</w:t>
            </w:r>
          </w:p>
        </w:tc>
      </w:tr>
      <w:tr w:rsidR="0028280C" w:rsidRPr="001424EF" w14:paraId="09B42455" w14:textId="77777777" w:rsidTr="00E43F48">
        <w:trPr>
          <w:trHeight w:val="315"/>
        </w:trPr>
        <w:tc>
          <w:tcPr>
            <w:tcW w:w="811" w:type="pct"/>
            <w:shd w:val="clear" w:color="auto" w:fill="auto"/>
            <w:vAlign w:val="center"/>
            <w:hideMark/>
          </w:tcPr>
          <w:p w14:paraId="2CB1B3EF"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MAG</w:t>
            </w:r>
          </w:p>
        </w:tc>
        <w:tc>
          <w:tcPr>
            <w:tcW w:w="4189" w:type="pct"/>
            <w:shd w:val="clear" w:color="auto" w:fill="auto"/>
            <w:vAlign w:val="center"/>
            <w:hideMark/>
          </w:tcPr>
          <w:p w14:paraId="3850AAC5"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Malnutrition Aigüe Globale</w:t>
            </w:r>
          </w:p>
        </w:tc>
      </w:tr>
      <w:tr w:rsidR="0028280C" w:rsidRPr="001424EF" w14:paraId="2A235A8A" w14:textId="77777777" w:rsidTr="00E43F48">
        <w:trPr>
          <w:trHeight w:val="315"/>
        </w:trPr>
        <w:tc>
          <w:tcPr>
            <w:tcW w:w="811" w:type="pct"/>
            <w:shd w:val="clear" w:color="auto" w:fill="auto"/>
            <w:vAlign w:val="center"/>
            <w:hideMark/>
          </w:tcPr>
          <w:p w14:paraId="5EE27F68"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MCA</w:t>
            </w:r>
          </w:p>
        </w:tc>
        <w:tc>
          <w:tcPr>
            <w:tcW w:w="4189" w:type="pct"/>
            <w:shd w:val="clear" w:color="auto" w:fill="auto"/>
            <w:vAlign w:val="center"/>
            <w:hideMark/>
          </w:tcPr>
          <w:p w14:paraId="323EB144"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Millenium Challenge Account</w:t>
            </w:r>
          </w:p>
        </w:tc>
      </w:tr>
      <w:tr w:rsidR="0028280C" w:rsidRPr="001424EF" w14:paraId="74C0116C" w14:textId="77777777" w:rsidTr="00E43F48">
        <w:trPr>
          <w:trHeight w:val="315"/>
        </w:trPr>
        <w:tc>
          <w:tcPr>
            <w:tcW w:w="811" w:type="pct"/>
            <w:shd w:val="clear" w:color="auto" w:fill="auto"/>
            <w:vAlign w:val="center"/>
            <w:hideMark/>
          </w:tcPr>
          <w:p w14:paraId="29553BFF"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MWH</w:t>
            </w:r>
          </w:p>
        </w:tc>
        <w:tc>
          <w:tcPr>
            <w:tcW w:w="4189" w:type="pct"/>
            <w:shd w:val="clear" w:color="auto" w:fill="auto"/>
            <w:vAlign w:val="center"/>
            <w:hideMark/>
          </w:tcPr>
          <w:p w14:paraId="45EB73A3"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 xml:space="preserve">Méga Watt Heure  </w:t>
            </w:r>
          </w:p>
        </w:tc>
      </w:tr>
      <w:tr w:rsidR="0028280C" w:rsidRPr="001424EF" w14:paraId="7ADF6ADE" w14:textId="77777777" w:rsidTr="00E43F48">
        <w:trPr>
          <w:trHeight w:val="315"/>
        </w:trPr>
        <w:tc>
          <w:tcPr>
            <w:tcW w:w="811" w:type="pct"/>
            <w:shd w:val="clear" w:color="auto" w:fill="auto"/>
            <w:vAlign w:val="center"/>
            <w:hideMark/>
          </w:tcPr>
          <w:p w14:paraId="07695AF1"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OCHA</w:t>
            </w:r>
          </w:p>
        </w:tc>
        <w:tc>
          <w:tcPr>
            <w:tcW w:w="4189" w:type="pct"/>
            <w:shd w:val="clear" w:color="auto" w:fill="auto"/>
            <w:vAlign w:val="center"/>
            <w:hideMark/>
          </w:tcPr>
          <w:p w14:paraId="6FD28905"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Bureau des Nations Unies pour la coordination des affaires humanitaires</w:t>
            </w:r>
          </w:p>
        </w:tc>
      </w:tr>
      <w:tr w:rsidR="0028280C" w:rsidRPr="001424EF" w14:paraId="191C1996" w14:textId="77777777" w:rsidTr="00E43F48">
        <w:trPr>
          <w:trHeight w:val="315"/>
        </w:trPr>
        <w:tc>
          <w:tcPr>
            <w:tcW w:w="811" w:type="pct"/>
            <w:shd w:val="clear" w:color="auto" w:fill="auto"/>
            <w:vAlign w:val="center"/>
            <w:hideMark/>
          </w:tcPr>
          <w:p w14:paraId="6813AFC5"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ODD</w:t>
            </w:r>
          </w:p>
        </w:tc>
        <w:tc>
          <w:tcPr>
            <w:tcW w:w="4189" w:type="pct"/>
            <w:shd w:val="clear" w:color="auto" w:fill="auto"/>
            <w:vAlign w:val="center"/>
            <w:hideMark/>
          </w:tcPr>
          <w:p w14:paraId="564B12C6"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Objectif de Développement Durable</w:t>
            </w:r>
          </w:p>
        </w:tc>
      </w:tr>
      <w:tr w:rsidR="0028280C" w:rsidRPr="001424EF" w14:paraId="2B777D03" w14:textId="77777777" w:rsidTr="00E43F48">
        <w:trPr>
          <w:trHeight w:val="315"/>
        </w:trPr>
        <w:tc>
          <w:tcPr>
            <w:tcW w:w="811" w:type="pct"/>
            <w:shd w:val="clear" w:color="auto" w:fill="auto"/>
            <w:vAlign w:val="center"/>
            <w:hideMark/>
          </w:tcPr>
          <w:p w14:paraId="660E594B"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OMS</w:t>
            </w:r>
          </w:p>
        </w:tc>
        <w:tc>
          <w:tcPr>
            <w:tcW w:w="4189" w:type="pct"/>
            <w:shd w:val="clear" w:color="auto" w:fill="auto"/>
            <w:vAlign w:val="center"/>
            <w:hideMark/>
          </w:tcPr>
          <w:p w14:paraId="4F848F3A"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Organisation Mondiale de la Santé</w:t>
            </w:r>
          </w:p>
        </w:tc>
      </w:tr>
      <w:tr w:rsidR="0028280C" w:rsidRPr="001424EF" w14:paraId="1557F6B8" w14:textId="77777777" w:rsidTr="00E43F48">
        <w:trPr>
          <w:trHeight w:val="315"/>
        </w:trPr>
        <w:tc>
          <w:tcPr>
            <w:tcW w:w="811" w:type="pct"/>
            <w:shd w:val="clear" w:color="auto" w:fill="auto"/>
            <w:vAlign w:val="center"/>
            <w:hideMark/>
          </w:tcPr>
          <w:p w14:paraId="2203A6DF"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ONAHA</w:t>
            </w:r>
          </w:p>
        </w:tc>
        <w:tc>
          <w:tcPr>
            <w:tcW w:w="4189" w:type="pct"/>
            <w:shd w:val="clear" w:color="auto" w:fill="auto"/>
            <w:vAlign w:val="center"/>
            <w:hideMark/>
          </w:tcPr>
          <w:p w14:paraId="01257722"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Office National des Aménagements Hydro Agricoles</w:t>
            </w:r>
          </w:p>
        </w:tc>
      </w:tr>
      <w:tr w:rsidR="0028280C" w:rsidRPr="001424EF" w14:paraId="5398DE42" w14:textId="77777777" w:rsidTr="00E43F48">
        <w:trPr>
          <w:trHeight w:val="315"/>
        </w:trPr>
        <w:tc>
          <w:tcPr>
            <w:tcW w:w="811" w:type="pct"/>
            <w:shd w:val="clear" w:color="auto" w:fill="auto"/>
            <w:vAlign w:val="center"/>
            <w:hideMark/>
          </w:tcPr>
          <w:p w14:paraId="6AA0C07E"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PAC/RC</w:t>
            </w:r>
          </w:p>
        </w:tc>
        <w:tc>
          <w:tcPr>
            <w:tcW w:w="4189" w:type="pct"/>
            <w:shd w:val="clear" w:color="auto" w:fill="auto"/>
            <w:vAlign w:val="center"/>
            <w:hideMark/>
          </w:tcPr>
          <w:p w14:paraId="34058A56"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Projet d'Actions Communautaires pour la Résilience Climatique</w:t>
            </w:r>
          </w:p>
        </w:tc>
      </w:tr>
      <w:tr w:rsidR="0028280C" w:rsidRPr="001424EF" w14:paraId="1C798CC8" w14:textId="77777777" w:rsidTr="00E43F48">
        <w:trPr>
          <w:trHeight w:val="315"/>
        </w:trPr>
        <w:tc>
          <w:tcPr>
            <w:tcW w:w="811" w:type="pct"/>
            <w:shd w:val="clear" w:color="auto" w:fill="auto"/>
            <w:vAlign w:val="center"/>
            <w:hideMark/>
          </w:tcPr>
          <w:p w14:paraId="2A935BBA"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PADAD/NIGG21</w:t>
            </w:r>
          </w:p>
        </w:tc>
        <w:tc>
          <w:tcPr>
            <w:tcW w:w="4189" w:type="pct"/>
            <w:shd w:val="clear" w:color="auto" w:fill="auto"/>
            <w:vAlign w:val="center"/>
            <w:hideMark/>
          </w:tcPr>
          <w:p w14:paraId="7232A890"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 </w:t>
            </w:r>
          </w:p>
        </w:tc>
      </w:tr>
      <w:tr w:rsidR="0028280C" w:rsidRPr="001424EF" w14:paraId="514D097D" w14:textId="77777777" w:rsidTr="00E43F48">
        <w:trPr>
          <w:trHeight w:val="315"/>
        </w:trPr>
        <w:tc>
          <w:tcPr>
            <w:tcW w:w="811" w:type="pct"/>
            <w:shd w:val="clear" w:color="auto" w:fill="auto"/>
            <w:vAlign w:val="center"/>
            <w:hideMark/>
          </w:tcPr>
          <w:p w14:paraId="7E1AA0DB"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PAP</w:t>
            </w:r>
          </w:p>
        </w:tc>
        <w:tc>
          <w:tcPr>
            <w:tcW w:w="4189" w:type="pct"/>
            <w:shd w:val="clear" w:color="auto" w:fill="auto"/>
            <w:vAlign w:val="center"/>
            <w:hideMark/>
          </w:tcPr>
          <w:p w14:paraId="5E99E758"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Programme d’Actions Prioritaires</w:t>
            </w:r>
          </w:p>
        </w:tc>
      </w:tr>
      <w:tr w:rsidR="0028280C" w:rsidRPr="001424EF" w14:paraId="14D3339C" w14:textId="77777777" w:rsidTr="00E43F48">
        <w:trPr>
          <w:trHeight w:val="315"/>
        </w:trPr>
        <w:tc>
          <w:tcPr>
            <w:tcW w:w="811" w:type="pct"/>
            <w:shd w:val="clear" w:color="auto" w:fill="auto"/>
            <w:vAlign w:val="center"/>
            <w:hideMark/>
          </w:tcPr>
          <w:p w14:paraId="1371D72E"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PAPI</w:t>
            </w:r>
          </w:p>
        </w:tc>
        <w:tc>
          <w:tcPr>
            <w:tcW w:w="4189" w:type="pct"/>
            <w:shd w:val="clear" w:color="auto" w:fill="auto"/>
            <w:vAlign w:val="center"/>
            <w:hideMark/>
          </w:tcPr>
          <w:p w14:paraId="1158C03A"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Programme d'Appui à la Petite Irrigation</w:t>
            </w:r>
          </w:p>
        </w:tc>
      </w:tr>
      <w:tr w:rsidR="0028280C" w:rsidRPr="001424EF" w14:paraId="79294B16" w14:textId="77777777" w:rsidTr="00E43F48">
        <w:trPr>
          <w:trHeight w:val="315"/>
        </w:trPr>
        <w:tc>
          <w:tcPr>
            <w:tcW w:w="811" w:type="pct"/>
            <w:shd w:val="clear" w:color="auto" w:fill="auto"/>
            <w:vAlign w:val="center"/>
            <w:hideMark/>
          </w:tcPr>
          <w:p w14:paraId="056FA68A"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PARIIS</w:t>
            </w:r>
          </w:p>
        </w:tc>
        <w:tc>
          <w:tcPr>
            <w:tcW w:w="4189" w:type="pct"/>
            <w:shd w:val="clear" w:color="auto" w:fill="auto"/>
            <w:vAlign w:val="center"/>
            <w:hideMark/>
          </w:tcPr>
          <w:p w14:paraId="2754BED2"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Projet d’Appui à l’Initiative pour l’Irrigation au Sahel</w:t>
            </w:r>
          </w:p>
        </w:tc>
      </w:tr>
      <w:tr w:rsidR="0028280C" w:rsidRPr="001424EF" w14:paraId="722A38F6" w14:textId="77777777" w:rsidTr="00E43F48">
        <w:trPr>
          <w:trHeight w:val="315"/>
        </w:trPr>
        <w:tc>
          <w:tcPr>
            <w:tcW w:w="811" w:type="pct"/>
            <w:shd w:val="clear" w:color="auto" w:fill="auto"/>
            <w:vAlign w:val="center"/>
            <w:hideMark/>
          </w:tcPr>
          <w:p w14:paraId="4032922A"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PASEC</w:t>
            </w:r>
          </w:p>
        </w:tc>
        <w:tc>
          <w:tcPr>
            <w:tcW w:w="4189" w:type="pct"/>
            <w:shd w:val="clear" w:color="auto" w:fill="auto"/>
            <w:vAlign w:val="center"/>
            <w:hideMark/>
          </w:tcPr>
          <w:p w14:paraId="6F1E22CE"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Projet d'Appui à l'Agriculture Sensible aux risques Climatiques</w:t>
            </w:r>
          </w:p>
        </w:tc>
      </w:tr>
      <w:tr w:rsidR="0028280C" w:rsidRPr="001424EF" w14:paraId="62118C3E" w14:textId="77777777" w:rsidTr="00E43F48">
        <w:trPr>
          <w:trHeight w:val="315"/>
        </w:trPr>
        <w:tc>
          <w:tcPr>
            <w:tcW w:w="811" w:type="pct"/>
            <w:shd w:val="clear" w:color="auto" w:fill="auto"/>
            <w:vAlign w:val="center"/>
            <w:hideMark/>
          </w:tcPr>
          <w:p w14:paraId="58D82695"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PDC</w:t>
            </w:r>
          </w:p>
        </w:tc>
        <w:tc>
          <w:tcPr>
            <w:tcW w:w="4189" w:type="pct"/>
            <w:shd w:val="clear" w:color="auto" w:fill="auto"/>
            <w:vAlign w:val="center"/>
            <w:hideMark/>
          </w:tcPr>
          <w:p w14:paraId="774D0DA6"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Plan de Développement Communal</w:t>
            </w:r>
          </w:p>
        </w:tc>
      </w:tr>
      <w:tr w:rsidR="0028280C" w:rsidRPr="001424EF" w14:paraId="33622B08" w14:textId="77777777" w:rsidTr="00E43F48">
        <w:trPr>
          <w:trHeight w:val="315"/>
        </w:trPr>
        <w:tc>
          <w:tcPr>
            <w:tcW w:w="811" w:type="pct"/>
            <w:shd w:val="clear" w:color="auto" w:fill="auto"/>
            <w:vAlign w:val="center"/>
            <w:hideMark/>
          </w:tcPr>
          <w:p w14:paraId="563E18F0"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PDES</w:t>
            </w:r>
          </w:p>
        </w:tc>
        <w:tc>
          <w:tcPr>
            <w:tcW w:w="4189" w:type="pct"/>
            <w:shd w:val="clear" w:color="auto" w:fill="auto"/>
            <w:vAlign w:val="center"/>
            <w:hideMark/>
          </w:tcPr>
          <w:p w14:paraId="274F970A"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Plan de Développement Economique et Social</w:t>
            </w:r>
          </w:p>
        </w:tc>
      </w:tr>
      <w:tr w:rsidR="0028280C" w:rsidRPr="001424EF" w14:paraId="5C42506A" w14:textId="77777777" w:rsidTr="00E43F48">
        <w:trPr>
          <w:trHeight w:val="315"/>
        </w:trPr>
        <w:tc>
          <w:tcPr>
            <w:tcW w:w="811" w:type="pct"/>
            <w:shd w:val="clear" w:color="auto" w:fill="auto"/>
            <w:vAlign w:val="center"/>
            <w:hideMark/>
          </w:tcPr>
          <w:p w14:paraId="5819A7EC"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PDR</w:t>
            </w:r>
          </w:p>
        </w:tc>
        <w:tc>
          <w:tcPr>
            <w:tcW w:w="4189" w:type="pct"/>
            <w:shd w:val="clear" w:color="auto" w:fill="auto"/>
            <w:vAlign w:val="center"/>
            <w:hideMark/>
          </w:tcPr>
          <w:p w14:paraId="6B4BF6A7"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Plan de Développement Régional</w:t>
            </w:r>
          </w:p>
        </w:tc>
      </w:tr>
      <w:tr w:rsidR="0028280C" w:rsidRPr="001424EF" w14:paraId="723FB887" w14:textId="77777777" w:rsidTr="00E43F48">
        <w:trPr>
          <w:trHeight w:val="315"/>
        </w:trPr>
        <w:tc>
          <w:tcPr>
            <w:tcW w:w="811" w:type="pct"/>
            <w:shd w:val="clear" w:color="auto" w:fill="auto"/>
            <w:vAlign w:val="center"/>
            <w:hideMark/>
          </w:tcPr>
          <w:p w14:paraId="7713D423"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PECEA</w:t>
            </w:r>
          </w:p>
        </w:tc>
        <w:tc>
          <w:tcPr>
            <w:tcW w:w="4189" w:type="pct"/>
            <w:shd w:val="clear" w:color="auto" w:fill="auto"/>
            <w:vAlign w:val="center"/>
            <w:hideMark/>
          </w:tcPr>
          <w:p w14:paraId="4EBE368E"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Programme de Promotion de l'Emploi et de la Croissance Economique dans l'Agriculture</w:t>
            </w:r>
          </w:p>
        </w:tc>
      </w:tr>
      <w:tr w:rsidR="0028280C" w:rsidRPr="001424EF" w14:paraId="12690DD2" w14:textId="77777777" w:rsidTr="00E43F48">
        <w:trPr>
          <w:trHeight w:val="315"/>
        </w:trPr>
        <w:tc>
          <w:tcPr>
            <w:tcW w:w="811" w:type="pct"/>
            <w:shd w:val="clear" w:color="auto" w:fill="auto"/>
            <w:vAlign w:val="center"/>
            <w:hideMark/>
          </w:tcPr>
          <w:p w14:paraId="1197162C"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PGRC-DU</w:t>
            </w:r>
          </w:p>
        </w:tc>
        <w:tc>
          <w:tcPr>
            <w:tcW w:w="4189" w:type="pct"/>
            <w:shd w:val="clear" w:color="auto" w:fill="auto"/>
            <w:vAlign w:val="center"/>
            <w:hideMark/>
          </w:tcPr>
          <w:p w14:paraId="6C3A44AA"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Projet de Gestion des Risques de Catastrophes et Développement Urbain</w:t>
            </w:r>
          </w:p>
        </w:tc>
      </w:tr>
      <w:tr w:rsidR="0028280C" w:rsidRPr="001424EF" w14:paraId="1D8FBE34" w14:textId="77777777" w:rsidTr="00E43F48">
        <w:trPr>
          <w:trHeight w:val="315"/>
        </w:trPr>
        <w:tc>
          <w:tcPr>
            <w:tcW w:w="811" w:type="pct"/>
            <w:shd w:val="clear" w:color="auto" w:fill="auto"/>
            <w:vAlign w:val="center"/>
            <w:hideMark/>
          </w:tcPr>
          <w:p w14:paraId="6343DFAB"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lastRenderedPageBreak/>
              <w:t>PIB</w:t>
            </w:r>
          </w:p>
        </w:tc>
        <w:tc>
          <w:tcPr>
            <w:tcW w:w="4189" w:type="pct"/>
            <w:shd w:val="clear" w:color="auto" w:fill="auto"/>
            <w:vAlign w:val="center"/>
            <w:hideMark/>
          </w:tcPr>
          <w:p w14:paraId="3DE88DAB"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Produit Intérieur Brut</w:t>
            </w:r>
          </w:p>
        </w:tc>
      </w:tr>
      <w:tr w:rsidR="0028280C" w:rsidRPr="001424EF" w14:paraId="2544E8D2" w14:textId="77777777" w:rsidTr="00E43F48">
        <w:trPr>
          <w:trHeight w:val="315"/>
        </w:trPr>
        <w:tc>
          <w:tcPr>
            <w:tcW w:w="811" w:type="pct"/>
            <w:shd w:val="clear" w:color="auto" w:fill="auto"/>
            <w:vAlign w:val="center"/>
            <w:hideMark/>
          </w:tcPr>
          <w:p w14:paraId="2E8085A4"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PMA</w:t>
            </w:r>
          </w:p>
        </w:tc>
        <w:tc>
          <w:tcPr>
            <w:tcW w:w="4189" w:type="pct"/>
            <w:shd w:val="clear" w:color="auto" w:fill="auto"/>
            <w:vAlign w:val="center"/>
            <w:hideMark/>
          </w:tcPr>
          <w:p w14:paraId="1393B9A0"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pays Pauvres et Moins Avancés</w:t>
            </w:r>
          </w:p>
        </w:tc>
      </w:tr>
      <w:tr w:rsidR="0028280C" w:rsidRPr="001424EF" w14:paraId="7039F96F" w14:textId="77777777" w:rsidTr="00E43F48">
        <w:trPr>
          <w:trHeight w:val="315"/>
        </w:trPr>
        <w:tc>
          <w:tcPr>
            <w:tcW w:w="811" w:type="pct"/>
            <w:shd w:val="clear" w:color="auto" w:fill="auto"/>
            <w:vAlign w:val="center"/>
            <w:hideMark/>
          </w:tcPr>
          <w:p w14:paraId="5FA494E2"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PNA</w:t>
            </w:r>
          </w:p>
        </w:tc>
        <w:tc>
          <w:tcPr>
            <w:tcW w:w="4189" w:type="pct"/>
            <w:shd w:val="clear" w:color="auto" w:fill="auto"/>
            <w:vAlign w:val="center"/>
            <w:hideMark/>
          </w:tcPr>
          <w:p w14:paraId="47F07EB6"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Plan National d’Adaptation à long terme</w:t>
            </w:r>
          </w:p>
        </w:tc>
      </w:tr>
      <w:tr w:rsidR="0028280C" w:rsidRPr="001424EF" w14:paraId="216C55EC" w14:textId="77777777" w:rsidTr="00E43F48">
        <w:trPr>
          <w:trHeight w:val="315"/>
        </w:trPr>
        <w:tc>
          <w:tcPr>
            <w:tcW w:w="811" w:type="pct"/>
            <w:shd w:val="clear" w:color="auto" w:fill="auto"/>
            <w:vAlign w:val="center"/>
            <w:hideMark/>
          </w:tcPr>
          <w:p w14:paraId="7B23180C"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PNAH/GC</w:t>
            </w:r>
          </w:p>
        </w:tc>
        <w:tc>
          <w:tcPr>
            <w:tcW w:w="4189" w:type="pct"/>
            <w:shd w:val="clear" w:color="auto" w:fill="auto"/>
            <w:vAlign w:val="center"/>
            <w:hideMark/>
          </w:tcPr>
          <w:p w14:paraId="0C5E86F6"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Plan National d’Adaptation sur les Changements Climatiques</w:t>
            </w:r>
          </w:p>
        </w:tc>
      </w:tr>
      <w:tr w:rsidR="0028280C" w:rsidRPr="001424EF" w14:paraId="723BB445" w14:textId="77777777" w:rsidTr="00E43F48">
        <w:trPr>
          <w:trHeight w:val="315"/>
        </w:trPr>
        <w:tc>
          <w:tcPr>
            <w:tcW w:w="811" w:type="pct"/>
            <w:shd w:val="clear" w:color="auto" w:fill="auto"/>
            <w:vAlign w:val="center"/>
            <w:hideMark/>
          </w:tcPr>
          <w:p w14:paraId="54290E4F"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PNAH/GC</w:t>
            </w:r>
          </w:p>
        </w:tc>
        <w:tc>
          <w:tcPr>
            <w:tcW w:w="4189" w:type="pct"/>
            <w:shd w:val="clear" w:color="auto" w:fill="auto"/>
            <w:vAlign w:val="center"/>
            <w:hideMark/>
          </w:tcPr>
          <w:p w14:paraId="4616C2CB"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Politique Nationale de l’Action Humanitaire et de Gestion des Catastrophes</w:t>
            </w:r>
          </w:p>
        </w:tc>
      </w:tr>
      <w:tr w:rsidR="0028280C" w:rsidRPr="001424EF" w14:paraId="3DA6BADC" w14:textId="77777777" w:rsidTr="00E43F48">
        <w:trPr>
          <w:trHeight w:val="315"/>
        </w:trPr>
        <w:tc>
          <w:tcPr>
            <w:tcW w:w="811" w:type="pct"/>
            <w:shd w:val="clear" w:color="auto" w:fill="auto"/>
            <w:vAlign w:val="center"/>
            <w:hideMark/>
          </w:tcPr>
          <w:p w14:paraId="777FA2B0"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PNCC</w:t>
            </w:r>
          </w:p>
        </w:tc>
        <w:tc>
          <w:tcPr>
            <w:tcW w:w="4189" w:type="pct"/>
            <w:shd w:val="clear" w:color="auto" w:fill="auto"/>
            <w:vAlign w:val="center"/>
            <w:hideMark/>
          </w:tcPr>
          <w:p w14:paraId="7691423B"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Politique Nationale sur les Changements Climatiques</w:t>
            </w:r>
          </w:p>
        </w:tc>
      </w:tr>
      <w:tr w:rsidR="0028280C" w:rsidRPr="001424EF" w14:paraId="4F36D808" w14:textId="77777777" w:rsidTr="00E43F48">
        <w:trPr>
          <w:trHeight w:val="315"/>
        </w:trPr>
        <w:tc>
          <w:tcPr>
            <w:tcW w:w="811" w:type="pct"/>
            <w:shd w:val="clear" w:color="auto" w:fill="auto"/>
            <w:vAlign w:val="center"/>
            <w:hideMark/>
          </w:tcPr>
          <w:p w14:paraId="405B5347"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PNCC</w:t>
            </w:r>
          </w:p>
        </w:tc>
        <w:tc>
          <w:tcPr>
            <w:tcW w:w="4189" w:type="pct"/>
            <w:shd w:val="clear" w:color="auto" w:fill="auto"/>
            <w:vAlign w:val="center"/>
            <w:hideMark/>
          </w:tcPr>
          <w:p w14:paraId="0A969DF8"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Politique Nationale sur les Changements Climatiques</w:t>
            </w:r>
          </w:p>
        </w:tc>
      </w:tr>
      <w:tr w:rsidR="0028280C" w:rsidRPr="001424EF" w14:paraId="28E3051E" w14:textId="77777777" w:rsidTr="00E43F48">
        <w:trPr>
          <w:trHeight w:val="315"/>
        </w:trPr>
        <w:tc>
          <w:tcPr>
            <w:tcW w:w="811" w:type="pct"/>
            <w:shd w:val="clear" w:color="auto" w:fill="auto"/>
            <w:vAlign w:val="center"/>
            <w:hideMark/>
          </w:tcPr>
          <w:p w14:paraId="060A99CE"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PNEDD</w:t>
            </w:r>
          </w:p>
        </w:tc>
        <w:tc>
          <w:tcPr>
            <w:tcW w:w="4189" w:type="pct"/>
            <w:shd w:val="clear" w:color="auto" w:fill="auto"/>
            <w:vAlign w:val="center"/>
            <w:hideMark/>
          </w:tcPr>
          <w:p w14:paraId="5FBB20B7"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Politique Nationale en matière d’Environnement et de Développement Durable</w:t>
            </w:r>
          </w:p>
        </w:tc>
      </w:tr>
      <w:tr w:rsidR="0028280C" w:rsidRPr="001424EF" w14:paraId="5FA68E89" w14:textId="77777777" w:rsidTr="00E43F48">
        <w:trPr>
          <w:trHeight w:val="315"/>
        </w:trPr>
        <w:tc>
          <w:tcPr>
            <w:tcW w:w="811" w:type="pct"/>
            <w:shd w:val="clear" w:color="auto" w:fill="auto"/>
            <w:vAlign w:val="center"/>
            <w:hideMark/>
          </w:tcPr>
          <w:p w14:paraId="2848144F"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PNEDD</w:t>
            </w:r>
          </w:p>
        </w:tc>
        <w:tc>
          <w:tcPr>
            <w:tcW w:w="4189" w:type="pct"/>
            <w:shd w:val="clear" w:color="auto" w:fill="auto"/>
            <w:vAlign w:val="center"/>
            <w:hideMark/>
          </w:tcPr>
          <w:p w14:paraId="703FEE51"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Politique Nationale de l’Environnement et du Développement Durable</w:t>
            </w:r>
          </w:p>
        </w:tc>
      </w:tr>
      <w:tr w:rsidR="0028280C" w:rsidRPr="001424EF" w14:paraId="0E4F0FA1" w14:textId="77777777" w:rsidTr="00E43F48">
        <w:trPr>
          <w:trHeight w:val="315"/>
        </w:trPr>
        <w:tc>
          <w:tcPr>
            <w:tcW w:w="811" w:type="pct"/>
            <w:shd w:val="clear" w:color="auto" w:fill="auto"/>
            <w:vAlign w:val="center"/>
            <w:hideMark/>
          </w:tcPr>
          <w:p w14:paraId="13B71A61"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PNF</w:t>
            </w:r>
          </w:p>
        </w:tc>
        <w:tc>
          <w:tcPr>
            <w:tcW w:w="4189" w:type="pct"/>
            <w:shd w:val="clear" w:color="auto" w:fill="auto"/>
            <w:vAlign w:val="center"/>
            <w:hideMark/>
          </w:tcPr>
          <w:p w14:paraId="727BB155"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Plan Forestier National</w:t>
            </w:r>
          </w:p>
        </w:tc>
      </w:tr>
      <w:tr w:rsidR="0028280C" w:rsidRPr="001424EF" w14:paraId="0B3D6EE9" w14:textId="77777777" w:rsidTr="00E43F48">
        <w:trPr>
          <w:trHeight w:val="315"/>
        </w:trPr>
        <w:tc>
          <w:tcPr>
            <w:tcW w:w="811" w:type="pct"/>
            <w:shd w:val="clear" w:color="auto" w:fill="auto"/>
            <w:vAlign w:val="center"/>
            <w:hideMark/>
          </w:tcPr>
          <w:p w14:paraId="0A174FCF"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PRAPS</w:t>
            </w:r>
          </w:p>
        </w:tc>
        <w:tc>
          <w:tcPr>
            <w:tcW w:w="4189" w:type="pct"/>
            <w:shd w:val="clear" w:color="auto" w:fill="auto"/>
            <w:vAlign w:val="center"/>
            <w:hideMark/>
          </w:tcPr>
          <w:p w14:paraId="3B5D7424"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Projet Régional d'Appui au Pastoralisme au Sahel</w:t>
            </w:r>
          </w:p>
        </w:tc>
      </w:tr>
      <w:tr w:rsidR="0028280C" w:rsidRPr="001424EF" w14:paraId="1F0AE2A3" w14:textId="77777777" w:rsidTr="00E43F48">
        <w:trPr>
          <w:trHeight w:val="315"/>
        </w:trPr>
        <w:tc>
          <w:tcPr>
            <w:tcW w:w="811" w:type="pct"/>
            <w:shd w:val="clear" w:color="auto" w:fill="auto"/>
            <w:vAlign w:val="center"/>
            <w:hideMark/>
          </w:tcPr>
          <w:p w14:paraId="4ED48E5A"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ProDAF</w:t>
            </w:r>
          </w:p>
        </w:tc>
        <w:tc>
          <w:tcPr>
            <w:tcW w:w="4189" w:type="pct"/>
            <w:shd w:val="clear" w:color="auto" w:fill="auto"/>
            <w:vAlign w:val="center"/>
            <w:hideMark/>
          </w:tcPr>
          <w:p w14:paraId="4B65E4E4"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Programme de Développement de l'Agriculture Familiale</w:t>
            </w:r>
          </w:p>
        </w:tc>
      </w:tr>
      <w:tr w:rsidR="0028280C" w:rsidRPr="001424EF" w14:paraId="3A3FBA0F" w14:textId="77777777" w:rsidTr="00E43F48">
        <w:trPr>
          <w:trHeight w:val="315"/>
        </w:trPr>
        <w:tc>
          <w:tcPr>
            <w:tcW w:w="811" w:type="pct"/>
            <w:shd w:val="clear" w:color="auto" w:fill="auto"/>
            <w:vAlign w:val="center"/>
            <w:hideMark/>
          </w:tcPr>
          <w:p w14:paraId="7FA53897"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RECA</w:t>
            </w:r>
          </w:p>
        </w:tc>
        <w:tc>
          <w:tcPr>
            <w:tcW w:w="4189" w:type="pct"/>
            <w:shd w:val="clear" w:color="auto" w:fill="auto"/>
            <w:vAlign w:val="center"/>
            <w:hideMark/>
          </w:tcPr>
          <w:p w14:paraId="0078ED99"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Réseau National des Chambres d’Agriculture du Niger</w:t>
            </w:r>
          </w:p>
        </w:tc>
      </w:tr>
      <w:tr w:rsidR="0028280C" w:rsidRPr="001424EF" w14:paraId="52DC621B" w14:textId="77777777" w:rsidTr="00E43F48">
        <w:trPr>
          <w:trHeight w:val="315"/>
        </w:trPr>
        <w:tc>
          <w:tcPr>
            <w:tcW w:w="811" w:type="pct"/>
            <w:shd w:val="clear" w:color="auto" w:fill="auto"/>
            <w:vAlign w:val="center"/>
            <w:hideMark/>
          </w:tcPr>
          <w:p w14:paraId="39D1A31F"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RGP/H</w:t>
            </w:r>
          </w:p>
        </w:tc>
        <w:tc>
          <w:tcPr>
            <w:tcW w:w="4189" w:type="pct"/>
            <w:shd w:val="clear" w:color="auto" w:fill="auto"/>
            <w:vAlign w:val="center"/>
            <w:hideMark/>
          </w:tcPr>
          <w:p w14:paraId="3A6BC11E"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Recensement Général de la Population et de l'Habitat</w:t>
            </w:r>
          </w:p>
        </w:tc>
      </w:tr>
      <w:tr w:rsidR="0028280C" w:rsidRPr="001424EF" w14:paraId="37241B3E" w14:textId="77777777" w:rsidTr="00E43F48">
        <w:trPr>
          <w:trHeight w:val="315"/>
        </w:trPr>
        <w:tc>
          <w:tcPr>
            <w:tcW w:w="811" w:type="pct"/>
            <w:shd w:val="clear" w:color="auto" w:fill="auto"/>
            <w:vAlign w:val="center"/>
            <w:hideMark/>
          </w:tcPr>
          <w:p w14:paraId="6BAC8737"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RN</w:t>
            </w:r>
          </w:p>
        </w:tc>
        <w:tc>
          <w:tcPr>
            <w:tcW w:w="4189" w:type="pct"/>
            <w:shd w:val="clear" w:color="auto" w:fill="auto"/>
            <w:vAlign w:val="center"/>
            <w:hideMark/>
          </w:tcPr>
          <w:p w14:paraId="54CC27EA"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Ressources Naturelles</w:t>
            </w:r>
          </w:p>
        </w:tc>
      </w:tr>
      <w:tr w:rsidR="0028280C" w:rsidRPr="001424EF" w14:paraId="3644BF83" w14:textId="77777777" w:rsidTr="00E43F48">
        <w:trPr>
          <w:trHeight w:val="315"/>
        </w:trPr>
        <w:tc>
          <w:tcPr>
            <w:tcW w:w="811" w:type="pct"/>
            <w:shd w:val="clear" w:color="auto" w:fill="auto"/>
            <w:vAlign w:val="center"/>
            <w:hideMark/>
          </w:tcPr>
          <w:p w14:paraId="7F35EE30"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RNA</w:t>
            </w:r>
          </w:p>
        </w:tc>
        <w:tc>
          <w:tcPr>
            <w:tcW w:w="4189" w:type="pct"/>
            <w:shd w:val="clear" w:color="auto" w:fill="auto"/>
            <w:vAlign w:val="center"/>
            <w:hideMark/>
          </w:tcPr>
          <w:p w14:paraId="52FFB161"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Régénération Naturelle Assistée</w:t>
            </w:r>
          </w:p>
        </w:tc>
      </w:tr>
      <w:tr w:rsidR="0028280C" w:rsidRPr="001424EF" w14:paraId="46F8D5C3" w14:textId="77777777" w:rsidTr="00E43F48">
        <w:trPr>
          <w:trHeight w:val="315"/>
        </w:trPr>
        <w:tc>
          <w:tcPr>
            <w:tcW w:w="811" w:type="pct"/>
            <w:shd w:val="clear" w:color="auto" w:fill="auto"/>
            <w:vAlign w:val="center"/>
            <w:hideMark/>
          </w:tcPr>
          <w:p w14:paraId="0673E64D"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RNV</w:t>
            </w:r>
          </w:p>
        </w:tc>
        <w:tc>
          <w:tcPr>
            <w:tcW w:w="4189" w:type="pct"/>
            <w:shd w:val="clear" w:color="auto" w:fill="auto"/>
            <w:vAlign w:val="center"/>
            <w:hideMark/>
          </w:tcPr>
          <w:p w14:paraId="2756C60E"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Revue Nationale des Volontaires</w:t>
            </w:r>
          </w:p>
        </w:tc>
      </w:tr>
      <w:tr w:rsidR="0028280C" w:rsidRPr="001424EF" w14:paraId="3CAF1A04" w14:textId="77777777" w:rsidTr="00E43F48">
        <w:trPr>
          <w:trHeight w:val="315"/>
        </w:trPr>
        <w:tc>
          <w:tcPr>
            <w:tcW w:w="811" w:type="pct"/>
            <w:shd w:val="clear" w:color="auto" w:fill="auto"/>
            <w:vAlign w:val="center"/>
            <w:hideMark/>
          </w:tcPr>
          <w:p w14:paraId="532D690A"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RRC</w:t>
            </w:r>
          </w:p>
        </w:tc>
        <w:tc>
          <w:tcPr>
            <w:tcW w:w="4189" w:type="pct"/>
            <w:shd w:val="clear" w:color="auto" w:fill="auto"/>
            <w:vAlign w:val="center"/>
            <w:hideMark/>
          </w:tcPr>
          <w:p w14:paraId="10237E40"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Réduction des Risques de Catastrophes</w:t>
            </w:r>
          </w:p>
        </w:tc>
      </w:tr>
      <w:tr w:rsidR="0028280C" w:rsidRPr="001424EF" w14:paraId="64EEB860" w14:textId="77777777" w:rsidTr="00E43F48">
        <w:trPr>
          <w:trHeight w:val="315"/>
        </w:trPr>
        <w:tc>
          <w:tcPr>
            <w:tcW w:w="811" w:type="pct"/>
            <w:shd w:val="clear" w:color="auto" w:fill="auto"/>
            <w:vAlign w:val="center"/>
            <w:hideMark/>
          </w:tcPr>
          <w:p w14:paraId="2485F135"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SDAF</w:t>
            </w:r>
          </w:p>
        </w:tc>
        <w:tc>
          <w:tcPr>
            <w:tcW w:w="4189" w:type="pct"/>
            <w:shd w:val="clear" w:color="auto" w:fill="auto"/>
            <w:vAlign w:val="center"/>
            <w:hideMark/>
          </w:tcPr>
          <w:p w14:paraId="41834B5B"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 </w:t>
            </w:r>
          </w:p>
        </w:tc>
      </w:tr>
      <w:tr w:rsidR="0028280C" w:rsidRPr="001424EF" w14:paraId="5D31DD90" w14:textId="77777777" w:rsidTr="00E43F48">
        <w:trPr>
          <w:trHeight w:val="315"/>
        </w:trPr>
        <w:tc>
          <w:tcPr>
            <w:tcW w:w="811" w:type="pct"/>
            <w:shd w:val="clear" w:color="auto" w:fill="auto"/>
            <w:vAlign w:val="center"/>
            <w:hideMark/>
          </w:tcPr>
          <w:p w14:paraId="35241E4E"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SDCCI</w:t>
            </w:r>
          </w:p>
        </w:tc>
        <w:tc>
          <w:tcPr>
            <w:tcW w:w="4189" w:type="pct"/>
            <w:shd w:val="clear" w:color="auto" w:fill="auto"/>
            <w:vAlign w:val="center"/>
            <w:hideMark/>
          </w:tcPr>
          <w:p w14:paraId="45AB7199"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Stratégie de Développement Durable et de Croissance Inclusive</w:t>
            </w:r>
          </w:p>
        </w:tc>
      </w:tr>
      <w:tr w:rsidR="0028280C" w:rsidRPr="001424EF" w14:paraId="4D7CFA72" w14:textId="77777777" w:rsidTr="00E43F48">
        <w:trPr>
          <w:trHeight w:val="315"/>
        </w:trPr>
        <w:tc>
          <w:tcPr>
            <w:tcW w:w="811" w:type="pct"/>
            <w:shd w:val="clear" w:color="auto" w:fill="auto"/>
            <w:vAlign w:val="center"/>
            <w:hideMark/>
          </w:tcPr>
          <w:p w14:paraId="5D0DB521"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SNAE</w:t>
            </w:r>
          </w:p>
        </w:tc>
        <w:tc>
          <w:tcPr>
            <w:tcW w:w="4189" w:type="pct"/>
            <w:shd w:val="clear" w:color="auto" w:fill="auto"/>
            <w:vAlign w:val="center"/>
            <w:hideMark/>
          </w:tcPr>
          <w:p w14:paraId="71EA8854"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Stratégie Nationale d'Accès à l'Electricité</w:t>
            </w:r>
          </w:p>
        </w:tc>
      </w:tr>
      <w:tr w:rsidR="0028280C" w:rsidRPr="001424EF" w14:paraId="32D4ED6B" w14:textId="77777777" w:rsidTr="00E43F48">
        <w:trPr>
          <w:trHeight w:val="315"/>
        </w:trPr>
        <w:tc>
          <w:tcPr>
            <w:tcW w:w="811" w:type="pct"/>
            <w:shd w:val="clear" w:color="auto" w:fill="auto"/>
            <w:vAlign w:val="center"/>
            <w:hideMark/>
          </w:tcPr>
          <w:p w14:paraId="4EA0D209"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SNDDT</w:t>
            </w:r>
          </w:p>
        </w:tc>
        <w:tc>
          <w:tcPr>
            <w:tcW w:w="4189" w:type="pct"/>
            <w:shd w:val="clear" w:color="auto" w:fill="auto"/>
            <w:vAlign w:val="center"/>
            <w:hideMark/>
          </w:tcPr>
          <w:p w14:paraId="0AA68F52"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Stratégie Nationale du Développement Durable du Tourisme</w:t>
            </w:r>
          </w:p>
        </w:tc>
      </w:tr>
      <w:tr w:rsidR="0028280C" w:rsidRPr="001424EF" w14:paraId="6AC32539" w14:textId="77777777" w:rsidTr="00E43F48">
        <w:trPr>
          <w:trHeight w:val="315"/>
        </w:trPr>
        <w:tc>
          <w:tcPr>
            <w:tcW w:w="811" w:type="pct"/>
            <w:shd w:val="clear" w:color="auto" w:fill="auto"/>
            <w:vAlign w:val="center"/>
            <w:hideMark/>
          </w:tcPr>
          <w:p w14:paraId="2DA4F74A"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SNDI/CER</w:t>
            </w:r>
          </w:p>
        </w:tc>
        <w:tc>
          <w:tcPr>
            <w:tcW w:w="4189" w:type="pct"/>
            <w:shd w:val="clear" w:color="auto" w:fill="auto"/>
            <w:vAlign w:val="center"/>
            <w:hideMark/>
          </w:tcPr>
          <w:p w14:paraId="2CAFAE6C"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Stratégie Nationale de Développement de l’Irrigation et de Collecte des Eaux de Ruissellement</w:t>
            </w:r>
          </w:p>
        </w:tc>
      </w:tr>
      <w:tr w:rsidR="0028280C" w:rsidRPr="001424EF" w14:paraId="64153904" w14:textId="77777777" w:rsidTr="00E43F48">
        <w:trPr>
          <w:trHeight w:val="315"/>
        </w:trPr>
        <w:tc>
          <w:tcPr>
            <w:tcW w:w="811" w:type="pct"/>
            <w:shd w:val="clear" w:color="auto" w:fill="auto"/>
            <w:vAlign w:val="center"/>
            <w:hideMark/>
          </w:tcPr>
          <w:p w14:paraId="5B77DA31"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SNHP</w:t>
            </w:r>
          </w:p>
        </w:tc>
        <w:tc>
          <w:tcPr>
            <w:tcW w:w="4189" w:type="pct"/>
            <w:shd w:val="clear" w:color="auto" w:fill="auto"/>
            <w:vAlign w:val="center"/>
            <w:hideMark/>
          </w:tcPr>
          <w:p w14:paraId="1FFA6584"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Stratégie Nationale d’Hydraulique Pastorale</w:t>
            </w:r>
          </w:p>
        </w:tc>
      </w:tr>
      <w:tr w:rsidR="0028280C" w:rsidRPr="001424EF" w14:paraId="460BABD0" w14:textId="77777777" w:rsidTr="00E43F48">
        <w:trPr>
          <w:trHeight w:val="315"/>
        </w:trPr>
        <w:tc>
          <w:tcPr>
            <w:tcW w:w="811" w:type="pct"/>
            <w:shd w:val="clear" w:color="auto" w:fill="auto"/>
            <w:vAlign w:val="center"/>
            <w:hideMark/>
          </w:tcPr>
          <w:p w14:paraId="1D3933E9"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SNRD</w:t>
            </w:r>
          </w:p>
        </w:tc>
        <w:tc>
          <w:tcPr>
            <w:tcW w:w="4189" w:type="pct"/>
            <w:shd w:val="clear" w:color="auto" w:fill="auto"/>
            <w:vAlign w:val="center"/>
            <w:hideMark/>
          </w:tcPr>
          <w:p w14:paraId="368922E0"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Stratégie Nationale de Relèvement Durable</w:t>
            </w:r>
          </w:p>
        </w:tc>
      </w:tr>
      <w:tr w:rsidR="0028280C" w:rsidRPr="001424EF" w14:paraId="28C1D8F0" w14:textId="77777777" w:rsidTr="00E43F48">
        <w:trPr>
          <w:trHeight w:val="315"/>
        </w:trPr>
        <w:tc>
          <w:tcPr>
            <w:tcW w:w="811" w:type="pct"/>
            <w:shd w:val="clear" w:color="auto" w:fill="auto"/>
            <w:vAlign w:val="center"/>
            <w:hideMark/>
          </w:tcPr>
          <w:p w14:paraId="48CB2C7E"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SNRRC</w:t>
            </w:r>
          </w:p>
        </w:tc>
        <w:tc>
          <w:tcPr>
            <w:tcW w:w="4189" w:type="pct"/>
            <w:shd w:val="clear" w:color="auto" w:fill="auto"/>
            <w:vAlign w:val="center"/>
            <w:hideMark/>
          </w:tcPr>
          <w:p w14:paraId="3576C720"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Stratégie Nationale de Réduction des Risques et Catastrophes</w:t>
            </w:r>
          </w:p>
        </w:tc>
      </w:tr>
      <w:tr w:rsidR="0028280C" w:rsidRPr="001424EF" w14:paraId="604E8641" w14:textId="77777777" w:rsidTr="00E43F48">
        <w:trPr>
          <w:trHeight w:val="315"/>
        </w:trPr>
        <w:tc>
          <w:tcPr>
            <w:tcW w:w="811" w:type="pct"/>
            <w:shd w:val="clear" w:color="auto" w:fill="auto"/>
            <w:vAlign w:val="center"/>
            <w:hideMark/>
          </w:tcPr>
          <w:p w14:paraId="2FAC3F83"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SNRRC</w:t>
            </w:r>
          </w:p>
        </w:tc>
        <w:tc>
          <w:tcPr>
            <w:tcW w:w="4189" w:type="pct"/>
            <w:shd w:val="clear" w:color="auto" w:fill="auto"/>
            <w:vAlign w:val="center"/>
            <w:hideMark/>
          </w:tcPr>
          <w:p w14:paraId="7E0D53A3"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Stratégie Nationale de Réduction des Risques et Catastrophes (</w:t>
            </w:r>
          </w:p>
        </w:tc>
      </w:tr>
      <w:tr w:rsidR="0028280C" w:rsidRPr="001424EF" w14:paraId="61105726" w14:textId="77777777" w:rsidTr="00E43F48">
        <w:trPr>
          <w:trHeight w:val="315"/>
        </w:trPr>
        <w:tc>
          <w:tcPr>
            <w:tcW w:w="811" w:type="pct"/>
            <w:shd w:val="clear" w:color="auto" w:fill="auto"/>
            <w:vAlign w:val="center"/>
            <w:hideMark/>
          </w:tcPr>
          <w:p w14:paraId="3F815723"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SPIN</w:t>
            </w:r>
          </w:p>
        </w:tc>
        <w:tc>
          <w:tcPr>
            <w:tcW w:w="4189" w:type="pct"/>
            <w:shd w:val="clear" w:color="auto" w:fill="auto"/>
            <w:vAlign w:val="center"/>
            <w:hideMark/>
          </w:tcPr>
          <w:p w14:paraId="5FF8A64A"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Stratégie Nationale de Petite Irrigation</w:t>
            </w:r>
          </w:p>
        </w:tc>
      </w:tr>
      <w:tr w:rsidR="0028280C" w:rsidRPr="001424EF" w14:paraId="7E281F50" w14:textId="77777777" w:rsidTr="00E43F48">
        <w:trPr>
          <w:trHeight w:val="315"/>
        </w:trPr>
        <w:tc>
          <w:tcPr>
            <w:tcW w:w="811" w:type="pct"/>
            <w:shd w:val="clear" w:color="auto" w:fill="auto"/>
            <w:vAlign w:val="center"/>
            <w:hideMark/>
          </w:tcPr>
          <w:p w14:paraId="4AEC26B8"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UBT</w:t>
            </w:r>
          </w:p>
        </w:tc>
        <w:tc>
          <w:tcPr>
            <w:tcW w:w="4189" w:type="pct"/>
            <w:shd w:val="clear" w:color="auto" w:fill="auto"/>
            <w:vAlign w:val="center"/>
            <w:hideMark/>
          </w:tcPr>
          <w:p w14:paraId="6096397B"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Unité Bétail Tropical</w:t>
            </w:r>
          </w:p>
        </w:tc>
      </w:tr>
      <w:tr w:rsidR="0028280C" w:rsidRPr="001424EF" w14:paraId="17EC0A8A" w14:textId="77777777" w:rsidTr="00E43F48">
        <w:trPr>
          <w:trHeight w:val="315"/>
        </w:trPr>
        <w:tc>
          <w:tcPr>
            <w:tcW w:w="811" w:type="pct"/>
            <w:shd w:val="clear" w:color="auto" w:fill="auto"/>
            <w:vAlign w:val="center"/>
            <w:hideMark/>
          </w:tcPr>
          <w:p w14:paraId="64463506"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UEMOA</w:t>
            </w:r>
          </w:p>
        </w:tc>
        <w:tc>
          <w:tcPr>
            <w:tcW w:w="4189" w:type="pct"/>
            <w:shd w:val="clear" w:color="auto" w:fill="auto"/>
            <w:vAlign w:val="center"/>
            <w:hideMark/>
          </w:tcPr>
          <w:p w14:paraId="746D15D9"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Union Economique et Monétaire Ouest-Africaine</w:t>
            </w:r>
          </w:p>
        </w:tc>
      </w:tr>
      <w:tr w:rsidR="0028280C" w:rsidRPr="001424EF" w14:paraId="5685075C" w14:textId="77777777" w:rsidTr="00E43F48">
        <w:trPr>
          <w:trHeight w:val="315"/>
        </w:trPr>
        <w:tc>
          <w:tcPr>
            <w:tcW w:w="811" w:type="pct"/>
            <w:shd w:val="clear" w:color="auto" w:fill="auto"/>
            <w:vAlign w:val="center"/>
            <w:hideMark/>
          </w:tcPr>
          <w:p w14:paraId="555D0867"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UNDAF</w:t>
            </w:r>
          </w:p>
        </w:tc>
        <w:tc>
          <w:tcPr>
            <w:tcW w:w="4189" w:type="pct"/>
            <w:shd w:val="clear" w:color="auto" w:fill="auto"/>
            <w:vAlign w:val="center"/>
            <w:hideMark/>
          </w:tcPr>
          <w:p w14:paraId="6D184110"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Plans Cadre des Nations Unies d’Assistance au Développement</w:t>
            </w:r>
          </w:p>
        </w:tc>
      </w:tr>
      <w:tr w:rsidR="0028280C" w:rsidRPr="001424EF" w14:paraId="4AFE0054" w14:textId="77777777" w:rsidTr="00E43F48">
        <w:trPr>
          <w:trHeight w:val="315"/>
        </w:trPr>
        <w:tc>
          <w:tcPr>
            <w:tcW w:w="811" w:type="pct"/>
            <w:shd w:val="clear" w:color="auto" w:fill="auto"/>
            <w:vAlign w:val="center"/>
            <w:hideMark/>
          </w:tcPr>
          <w:p w14:paraId="48783AB3"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USD</w:t>
            </w:r>
          </w:p>
        </w:tc>
        <w:tc>
          <w:tcPr>
            <w:tcW w:w="4189" w:type="pct"/>
            <w:shd w:val="clear" w:color="auto" w:fill="auto"/>
            <w:vAlign w:val="center"/>
            <w:hideMark/>
          </w:tcPr>
          <w:p w14:paraId="4770BC8B" w14:textId="77777777" w:rsidR="0028280C" w:rsidRPr="001424EF" w:rsidRDefault="0028280C" w:rsidP="00E43F48">
            <w:pPr>
              <w:spacing w:after="0" w:line="240" w:lineRule="auto"/>
              <w:rPr>
                <w:rFonts w:ascii="Times New Roman" w:eastAsia="Times New Roman" w:hAnsi="Times New Roman" w:cs="Times New Roman"/>
                <w:color w:val="000000"/>
                <w:lang w:eastAsia="fr-FR"/>
              </w:rPr>
            </w:pPr>
            <w:r w:rsidRPr="001424EF">
              <w:rPr>
                <w:rFonts w:ascii="Times New Roman" w:eastAsia="Times New Roman" w:hAnsi="Times New Roman" w:cs="Times New Roman"/>
                <w:color w:val="000000"/>
                <w:lang w:eastAsia="fr-FR"/>
              </w:rPr>
              <w:t>Dollar Américain</w:t>
            </w:r>
          </w:p>
        </w:tc>
      </w:tr>
    </w:tbl>
    <w:p w14:paraId="0D5F7C92" w14:textId="77777777" w:rsidR="0028280C" w:rsidRPr="00DE5C5B" w:rsidRDefault="0028280C" w:rsidP="0028280C"/>
    <w:p w14:paraId="233AAFA7" w14:textId="72554082" w:rsidR="00DA2244" w:rsidRDefault="00DA2244">
      <w:pPr>
        <w:rPr>
          <w:rFonts w:ascii="Bernard MT Condensed" w:hAnsi="Bernard MT Condensed" w:cstheme="minorHAnsi"/>
          <w:b/>
          <w:sz w:val="32"/>
          <w:szCs w:val="32"/>
        </w:rPr>
      </w:pPr>
      <w:r>
        <w:rPr>
          <w:rFonts w:ascii="Bernard MT Condensed" w:hAnsi="Bernard MT Condensed" w:cstheme="minorHAnsi"/>
          <w:b/>
          <w:sz w:val="32"/>
          <w:szCs w:val="32"/>
        </w:rPr>
        <w:br w:type="page"/>
      </w:r>
    </w:p>
    <w:p w14:paraId="46EC4A4F" w14:textId="77777777" w:rsidR="0028280C" w:rsidRPr="00E25B1F" w:rsidRDefault="0028280C" w:rsidP="00E25B1F">
      <w:pPr>
        <w:pStyle w:val="Titre1"/>
        <w:rPr>
          <w:rFonts w:ascii="Bernard MT Condensed" w:hAnsi="Bernard MT Condensed"/>
          <w:sz w:val="28"/>
          <w:szCs w:val="28"/>
        </w:rPr>
      </w:pPr>
      <w:bookmarkStart w:id="3" w:name="_Toc84789659"/>
      <w:bookmarkStart w:id="4" w:name="_Toc86687705"/>
      <w:bookmarkStart w:id="5" w:name="_Toc89479387"/>
      <w:bookmarkStart w:id="6" w:name="_Toc89480883"/>
      <w:bookmarkStart w:id="7" w:name="_Toc94480126"/>
      <w:bookmarkStart w:id="8" w:name="_Toc94481787"/>
      <w:bookmarkStart w:id="9" w:name="_Toc94482050"/>
      <w:r w:rsidRPr="00E25B1F">
        <w:rPr>
          <w:rFonts w:ascii="Bernard MT Condensed" w:hAnsi="Bernard MT Condensed"/>
          <w:sz w:val="28"/>
          <w:szCs w:val="28"/>
        </w:rPr>
        <w:lastRenderedPageBreak/>
        <w:t>Résumé exécutif</w:t>
      </w:r>
      <w:bookmarkEnd w:id="3"/>
      <w:bookmarkEnd w:id="4"/>
      <w:bookmarkEnd w:id="5"/>
      <w:bookmarkEnd w:id="6"/>
      <w:bookmarkEnd w:id="7"/>
      <w:bookmarkEnd w:id="8"/>
      <w:bookmarkEnd w:id="9"/>
    </w:p>
    <w:p w14:paraId="71EB9455" w14:textId="54F8F748" w:rsidR="0028280C" w:rsidRDefault="0028280C" w:rsidP="0028280C">
      <w:pPr>
        <w:jc w:val="both"/>
        <w:rPr>
          <w:rFonts w:ascii="Times New Roman" w:hAnsi="Times New Roman" w:cs="Times New Roman"/>
        </w:rPr>
      </w:pPr>
      <w:r w:rsidRPr="00C059E4">
        <w:rPr>
          <w:rFonts w:ascii="Times New Roman" w:hAnsi="Times New Roman" w:cs="Times New Roman"/>
        </w:rPr>
        <w:t>La présente analyse</w:t>
      </w:r>
      <w:r>
        <w:rPr>
          <w:rFonts w:ascii="Times New Roman" w:hAnsi="Times New Roman" w:cs="Times New Roman"/>
        </w:rPr>
        <w:t xml:space="preserve"> commune de pays (ACP) a été réalisée sous la supervision de l’équipe pays des Nations Unies dans le cadre de la mise en œuvre de la feuille de route relative à l’élaboration du Plan cadre de coopération des Nations Unies</w:t>
      </w:r>
      <w:r w:rsidR="00953B61">
        <w:rPr>
          <w:rFonts w:ascii="Times New Roman" w:hAnsi="Times New Roman" w:cs="Times New Roman"/>
        </w:rPr>
        <w:t xml:space="preserve"> pour le développent durable (PCC</w:t>
      </w:r>
      <w:r>
        <w:rPr>
          <w:rFonts w:ascii="Times New Roman" w:hAnsi="Times New Roman" w:cs="Times New Roman"/>
        </w:rPr>
        <w:t>)</w:t>
      </w:r>
      <w:r w:rsidRPr="00394E20">
        <w:rPr>
          <w:rFonts w:ascii="Times New Roman" w:hAnsi="Times New Roman" w:cs="Times New Roman"/>
        </w:rPr>
        <w:t xml:space="preserve"> </w:t>
      </w:r>
      <w:r>
        <w:rPr>
          <w:rFonts w:ascii="Times New Roman" w:hAnsi="Times New Roman" w:cs="Times New Roman"/>
        </w:rPr>
        <w:t xml:space="preserve">2023-2026. Selon les directives du Département de la coordination des opérations de développement des Nations Unies (UNDCO), l’ACP est un exercice mandataire et essentiel </w:t>
      </w:r>
      <w:r w:rsidR="0058099F">
        <w:rPr>
          <w:rFonts w:ascii="Times New Roman" w:hAnsi="Times New Roman" w:cs="Times New Roman"/>
        </w:rPr>
        <w:t>qui a</w:t>
      </w:r>
      <w:r>
        <w:rPr>
          <w:rFonts w:ascii="Times New Roman" w:hAnsi="Times New Roman" w:cs="Times New Roman"/>
        </w:rPr>
        <w:t xml:space="preserve"> pour </w:t>
      </w:r>
      <w:r w:rsidRPr="00540828">
        <w:rPr>
          <w:rFonts w:ascii="Times New Roman" w:hAnsi="Times New Roman" w:cs="Times New Roman"/>
        </w:rPr>
        <w:t xml:space="preserve">objet de </w:t>
      </w:r>
      <w:r>
        <w:rPr>
          <w:rFonts w:ascii="Times New Roman" w:hAnsi="Times New Roman" w:cs="Times New Roman"/>
        </w:rPr>
        <w:t>« </w:t>
      </w:r>
      <w:r w:rsidRPr="0087147B">
        <w:rPr>
          <w:rFonts w:ascii="Times New Roman" w:hAnsi="Times New Roman" w:cs="Times New Roman"/>
          <w:i/>
        </w:rPr>
        <w:t>procéder à l’examen de la situation politique, économique, sociale, humanitaire et environnementale du pays, et d’apprécier les progrès enregistrés dans la mise en œuvre de l’agenda 2030 notamment les progrès accomplis vers l’atteinte des Objectifs de développement durable (ODD), particulièrement e</w:t>
      </w:r>
      <w:r w:rsidR="00705BE2">
        <w:rPr>
          <w:rFonts w:ascii="Times New Roman" w:hAnsi="Times New Roman" w:cs="Times New Roman"/>
          <w:i/>
        </w:rPr>
        <w:t xml:space="preserve">n ce qui concerne les femmes, </w:t>
      </w:r>
      <w:r w:rsidRPr="0087147B">
        <w:rPr>
          <w:rFonts w:ascii="Times New Roman" w:hAnsi="Times New Roman" w:cs="Times New Roman"/>
          <w:i/>
        </w:rPr>
        <w:t xml:space="preserve">les filles et les groupes les plus vulnérables en application du principe </w:t>
      </w:r>
      <w:r w:rsidRPr="0087147B">
        <w:rPr>
          <w:rFonts w:ascii="Times New Roman" w:hAnsi="Times New Roman" w:cs="Times New Roman"/>
          <w:b/>
          <w:i/>
        </w:rPr>
        <w:t>« Ne laisser personne de côté</w:t>
      </w:r>
      <w:r w:rsidRPr="00332616">
        <w:rPr>
          <w:rFonts w:ascii="Times New Roman" w:hAnsi="Times New Roman" w:cs="Times New Roman"/>
          <w:b/>
          <w:i/>
        </w:rPr>
        <w:t> </w:t>
      </w:r>
      <w:r>
        <w:rPr>
          <w:rFonts w:ascii="Times New Roman" w:hAnsi="Times New Roman" w:cs="Times New Roman"/>
        </w:rPr>
        <w:t>».</w:t>
      </w:r>
      <w:r w:rsidRPr="00540828">
        <w:rPr>
          <w:rFonts w:ascii="Times New Roman" w:hAnsi="Times New Roman" w:cs="Times New Roman"/>
        </w:rPr>
        <w:t xml:space="preserve"> Précisément, elle s’attache à identifier d’une part les problèmes majeurs </w:t>
      </w:r>
      <w:r>
        <w:rPr>
          <w:rFonts w:ascii="Times New Roman" w:hAnsi="Times New Roman" w:cs="Times New Roman"/>
        </w:rPr>
        <w:t xml:space="preserve">relatifs aux questions humanitaires, </w:t>
      </w:r>
      <w:r w:rsidR="00FC6F1A">
        <w:rPr>
          <w:rFonts w:ascii="Times New Roman" w:hAnsi="Times New Roman" w:cs="Times New Roman"/>
        </w:rPr>
        <w:t xml:space="preserve">des droits de l’homme, </w:t>
      </w:r>
      <w:r>
        <w:rPr>
          <w:rFonts w:ascii="Times New Roman" w:hAnsi="Times New Roman" w:cs="Times New Roman"/>
        </w:rPr>
        <w:t>à</w:t>
      </w:r>
      <w:r w:rsidRPr="00540828">
        <w:rPr>
          <w:rFonts w:ascii="Times New Roman" w:hAnsi="Times New Roman" w:cs="Times New Roman"/>
        </w:rPr>
        <w:t xml:space="preserve"> la paix et </w:t>
      </w:r>
      <w:r>
        <w:rPr>
          <w:rFonts w:ascii="Times New Roman" w:hAnsi="Times New Roman" w:cs="Times New Roman"/>
        </w:rPr>
        <w:t>au développement</w:t>
      </w:r>
      <w:r w:rsidRPr="00540828">
        <w:rPr>
          <w:rFonts w:ascii="Times New Roman" w:hAnsi="Times New Roman" w:cs="Times New Roman"/>
        </w:rPr>
        <w:t>, et à cerner leurs causes immédiates, sous-jacentes et profondes ainsi que leurs conséquences, et d’autre part à mettre en relief les atouts dont dispose le pays et les opportunités qui s</w:t>
      </w:r>
      <w:r>
        <w:rPr>
          <w:rFonts w:ascii="Times New Roman" w:hAnsi="Times New Roman" w:cs="Times New Roman"/>
        </w:rPr>
        <w:t xml:space="preserve">’offrent à lui pour </w:t>
      </w:r>
      <w:r w:rsidR="00953B61">
        <w:rPr>
          <w:rFonts w:ascii="Times New Roman" w:hAnsi="Times New Roman" w:cs="Times New Roman"/>
        </w:rPr>
        <w:t>promouvoir le</w:t>
      </w:r>
      <w:r>
        <w:rPr>
          <w:rFonts w:ascii="Times New Roman" w:hAnsi="Times New Roman" w:cs="Times New Roman"/>
        </w:rPr>
        <w:t xml:space="preserve"> développement durable</w:t>
      </w:r>
      <w:r w:rsidRPr="00540828">
        <w:rPr>
          <w:rFonts w:ascii="Times New Roman" w:hAnsi="Times New Roman" w:cs="Times New Roman"/>
        </w:rPr>
        <w:t>.</w:t>
      </w:r>
    </w:p>
    <w:p w14:paraId="75A686B3" w14:textId="7FB6235E" w:rsidR="0028280C" w:rsidRDefault="0028280C" w:rsidP="0028280C">
      <w:pPr>
        <w:jc w:val="both"/>
        <w:rPr>
          <w:rFonts w:ascii="Times New Roman" w:hAnsi="Times New Roman" w:cs="Times New Roman"/>
        </w:rPr>
      </w:pPr>
      <w:r w:rsidRPr="005131B9">
        <w:rPr>
          <w:rFonts w:ascii="Times New Roman" w:hAnsi="Times New Roman" w:cs="Times New Roman"/>
        </w:rPr>
        <w:t xml:space="preserve">L’ACP met en lumière la situation des </w:t>
      </w:r>
      <w:r w:rsidRPr="00D156CB">
        <w:rPr>
          <w:rFonts w:ascii="Times New Roman" w:hAnsi="Times New Roman" w:cs="Times New Roman"/>
        </w:rPr>
        <w:t>personnes laissées de côté qui subissent de fortes privations pour la jouissance de leurs droits. Elle apprécie les avantages comparatifs du Système des Nations Unies (SNU). Elle explore les perspectives politiques, sécuritaires, économiques, sociales et environ</w:t>
      </w:r>
      <w:r w:rsidR="00705BE2">
        <w:rPr>
          <w:rFonts w:ascii="Times New Roman" w:hAnsi="Times New Roman" w:cs="Times New Roman"/>
        </w:rPr>
        <w:t>nementales aux niveaux national</w:t>
      </w:r>
      <w:r w:rsidRPr="00D156CB">
        <w:rPr>
          <w:rFonts w:ascii="Times New Roman" w:hAnsi="Times New Roman" w:cs="Times New Roman"/>
        </w:rPr>
        <w:t>, sous régional et régional. Le but ult</w:t>
      </w:r>
      <w:r>
        <w:rPr>
          <w:rFonts w:ascii="Times New Roman" w:hAnsi="Times New Roman" w:cs="Times New Roman"/>
        </w:rPr>
        <w:t>ime de l’ACP</w:t>
      </w:r>
      <w:r w:rsidRPr="00D156CB">
        <w:rPr>
          <w:rFonts w:ascii="Times New Roman" w:hAnsi="Times New Roman" w:cs="Times New Roman"/>
        </w:rPr>
        <w:t xml:space="preserve"> est de proposer des axes stratégiques et des lignes d’action po</w:t>
      </w:r>
      <w:r>
        <w:rPr>
          <w:rFonts w:ascii="Times New Roman" w:hAnsi="Times New Roman" w:cs="Times New Roman"/>
        </w:rPr>
        <w:t>ur orienter l’élaboration du Plan cadre de coopération des Nations Unies pour le développement durable (CF) 2023-2026</w:t>
      </w:r>
      <w:r w:rsidRPr="00D156CB">
        <w:rPr>
          <w:rFonts w:ascii="Times New Roman" w:hAnsi="Times New Roman" w:cs="Times New Roman"/>
        </w:rPr>
        <w:t>.</w:t>
      </w:r>
    </w:p>
    <w:p w14:paraId="108A6AC1" w14:textId="2410DE08" w:rsidR="0028280C" w:rsidRDefault="0028280C" w:rsidP="0028280C">
      <w:pPr>
        <w:jc w:val="both"/>
        <w:rPr>
          <w:rFonts w:ascii="Times New Roman" w:hAnsi="Times New Roman" w:cs="Times New Roman"/>
        </w:rPr>
      </w:pPr>
      <w:r>
        <w:rPr>
          <w:rFonts w:ascii="Times New Roman" w:hAnsi="Times New Roman" w:cs="Times New Roman"/>
        </w:rPr>
        <w:t>L’élaboration de l’ACP a été participative et inclusive. Elle a mobilisé le gouvernement particulièrement les ministères, les Organisations de la société civile (OSC), le secteur privé, les communautés de base, les Partenaires techniques et financiers (PTF), les agences résidentes et non résidentes des Nations Unies. Cet exercice analytique a eu l’avantage de coïncider avec la réalisation de l’évaluation du Plan de développement économique et sociale (PDES) 2019 - 2021 et de l’étude diagnostique entreprise dans le sillage du processus</w:t>
      </w:r>
      <w:r w:rsidR="00705BE2">
        <w:rPr>
          <w:rFonts w:ascii="Times New Roman" w:hAnsi="Times New Roman" w:cs="Times New Roman"/>
        </w:rPr>
        <w:t xml:space="preserve"> d’élaboration du PDES 2022 - 20</w:t>
      </w:r>
      <w:r>
        <w:rPr>
          <w:rFonts w:ascii="Times New Roman" w:hAnsi="Times New Roman" w:cs="Times New Roman"/>
        </w:rPr>
        <w:t>26. Cette coïncidence a favorisé une étroite collaboration et des échanges très fructueux entre le gouvernement et l’équipe pays des Nations Uni</w:t>
      </w:r>
      <w:r w:rsidR="00705BE2">
        <w:rPr>
          <w:rFonts w:ascii="Times New Roman" w:hAnsi="Times New Roman" w:cs="Times New Roman"/>
        </w:rPr>
        <w:t xml:space="preserve">es sur les défis majeurs et </w:t>
      </w:r>
      <w:r>
        <w:rPr>
          <w:rFonts w:ascii="Times New Roman" w:hAnsi="Times New Roman" w:cs="Times New Roman"/>
        </w:rPr>
        <w:t>enjeux relatifs au développement, à la paix et la sécurité, aux questions environnementales et humanitaires.</w:t>
      </w:r>
    </w:p>
    <w:p w14:paraId="292E2CFB" w14:textId="3A714B07" w:rsidR="0028280C" w:rsidRDefault="0028280C" w:rsidP="0028280C">
      <w:pPr>
        <w:jc w:val="both"/>
        <w:rPr>
          <w:rFonts w:ascii="Times New Roman" w:hAnsi="Times New Roman" w:cs="Times New Roman"/>
          <w:bCs/>
        </w:rPr>
      </w:pPr>
      <w:r>
        <w:rPr>
          <w:rFonts w:ascii="Times New Roman" w:hAnsi="Times New Roman" w:cs="Times New Roman"/>
        </w:rPr>
        <w:t>L’élaboration de l’ACP s’est basée sur la démarche méthodologique déclinée dans les directives de DCO. Précisément, elle a été guidée par les principes programmatiques des Nations Unies notamment</w:t>
      </w:r>
      <w:r w:rsidRPr="00160141">
        <w:rPr>
          <w:rFonts w:ascii="Times New Roman" w:hAnsi="Times New Roman" w:cs="Times New Roman"/>
          <w:bCs/>
          <w:i/>
        </w:rPr>
        <w:t xml:space="preserve"> </w:t>
      </w:r>
      <w:r w:rsidRPr="00852C2A">
        <w:rPr>
          <w:rFonts w:ascii="Times New Roman" w:hAnsi="Times New Roman" w:cs="Times New Roman"/>
          <w:bCs/>
          <w:i/>
        </w:rPr>
        <w:t xml:space="preserve">Ne </w:t>
      </w:r>
      <w:r>
        <w:rPr>
          <w:rFonts w:ascii="Times New Roman" w:hAnsi="Times New Roman" w:cs="Times New Roman"/>
          <w:bCs/>
          <w:i/>
        </w:rPr>
        <w:t xml:space="preserve">laisser personne </w:t>
      </w:r>
      <w:r w:rsidR="00FC6F1A">
        <w:rPr>
          <w:rFonts w:ascii="Times New Roman" w:hAnsi="Times New Roman" w:cs="Times New Roman"/>
          <w:bCs/>
          <w:i/>
        </w:rPr>
        <w:t>de côté</w:t>
      </w:r>
      <w:r>
        <w:rPr>
          <w:rFonts w:ascii="Times New Roman" w:hAnsi="Times New Roman" w:cs="Times New Roman"/>
          <w:bCs/>
          <w:i/>
        </w:rPr>
        <w:t xml:space="preserve">; </w:t>
      </w:r>
      <w:r w:rsidRPr="00852C2A">
        <w:rPr>
          <w:rFonts w:ascii="Times New Roman" w:hAnsi="Times New Roman" w:cs="Times New Roman"/>
          <w:bCs/>
          <w:i/>
        </w:rPr>
        <w:t>Droits humains, égalité des sexes et autonomisation des femmes ;  Durabilité et r</w:t>
      </w:r>
      <w:r w:rsidR="002A5BEC">
        <w:rPr>
          <w:rFonts w:ascii="Times New Roman" w:hAnsi="Times New Roman" w:cs="Times New Roman"/>
          <w:bCs/>
          <w:i/>
        </w:rPr>
        <w:t>ésilience ; Redevabilité</w:t>
      </w:r>
      <w:r>
        <w:rPr>
          <w:rFonts w:ascii="Times New Roman" w:hAnsi="Times New Roman" w:cs="Times New Roman"/>
          <w:bCs/>
          <w:i/>
        </w:rPr>
        <w:t xml:space="preserve">. </w:t>
      </w:r>
      <w:r>
        <w:rPr>
          <w:rFonts w:ascii="Times New Roman" w:hAnsi="Times New Roman" w:cs="Times New Roman"/>
          <w:bCs/>
        </w:rPr>
        <w:t xml:space="preserve">A la faveur de ces principes, elle s’est inscrite dans la perspective de l’approche basée sur les droits de l’homme. Cette posture a permis de mettre en lumière et d’accorder une attention particulière à  la situation des personnes et des groupes les plus vulnérables, aux inégalités ou aux discriminations basées sur le genre. Mais, la réalisation de l’ACP a été confrontée au problème de la disponibilité des données statistiques récentes. </w:t>
      </w:r>
    </w:p>
    <w:p w14:paraId="6B805BDE" w14:textId="77777777" w:rsidR="0028280C" w:rsidRDefault="0028280C" w:rsidP="0028280C">
      <w:pPr>
        <w:jc w:val="both"/>
        <w:rPr>
          <w:rFonts w:ascii="Times New Roman" w:hAnsi="Times New Roman" w:cs="Times New Roman"/>
          <w:bCs/>
        </w:rPr>
      </w:pPr>
      <w:r>
        <w:rPr>
          <w:rFonts w:ascii="Times New Roman" w:hAnsi="Times New Roman" w:cs="Times New Roman"/>
          <w:bCs/>
        </w:rPr>
        <w:t>L’ACP s’est déroulé en sept étapes :</w:t>
      </w:r>
    </w:p>
    <w:p w14:paraId="365146D0" w14:textId="67DA8CFA" w:rsidR="0028280C" w:rsidRPr="00AC72C8" w:rsidRDefault="0028280C" w:rsidP="0028280C">
      <w:pPr>
        <w:pStyle w:val="Paragraphedeliste"/>
        <w:numPr>
          <w:ilvl w:val="0"/>
          <w:numId w:val="24"/>
        </w:numPr>
        <w:jc w:val="both"/>
        <w:rPr>
          <w:rFonts w:ascii="Times New Roman" w:hAnsi="Times New Roman" w:cs="Times New Roman"/>
          <w:bCs/>
        </w:rPr>
      </w:pPr>
      <w:r w:rsidRPr="00AC72C8">
        <w:rPr>
          <w:rFonts w:ascii="Times New Roman" w:hAnsi="Times New Roman" w:cs="Times New Roman"/>
          <w:bCs/>
        </w:rPr>
        <w:t xml:space="preserve">La première étape a porté sur la formation des représentants du gouvernement, de la société civile, du secteur prive ainsi que </w:t>
      </w:r>
      <w:r w:rsidR="00705BE2">
        <w:rPr>
          <w:rFonts w:ascii="Times New Roman" w:hAnsi="Times New Roman" w:cs="Times New Roman"/>
          <w:bCs/>
        </w:rPr>
        <w:t>du</w:t>
      </w:r>
      <w:r w:rsidRPr="00AC72C8">
        <w:rPr>
          <w:rFonts w:ascii="Times New Roman" w:hAnsi="Times New Roman" w:cs="Times New Roman"/>
          <w:bCs/>
        </w:rPr>
        <w:t xml:space="preserve"> personnel des Nations Unies sur les directives de la réforme, la nouvelle approche et les nouveaux outils de programmation ; </w:t>
      </w:r>
    </w:p>
    <w:p w14:paraId="67167A71" w14:textId="77777777" w:rsidR="0028280C" w:rsidRPr="00AC72C8" w:rsidRDefault="0028280C" w:rsidP="0028280C">
      <w:pPr>
        <w:pStyle w:val="Paragraphedeliste"/>
        <w:numPr>
          <w:ilvl w:val="0"/>
          <w:numId w:val="24"/>
        </w:numPr>
        <w:jc w:val="both"/>
        <w:rPr>
          <w:rFonts w:ascii="Times New Roman" w:hAnsi="Times New Roman" w:cs="Times New Roman"/>
          <w:bCs/>
        </w:rPr>
      </w:pPr>
      <w:r w:rsidRPr="00AC72C8">
        <w:rPr>
          <w:rFonts w:ascii="Times New Roman" w:hAnsi="Times New Roman" w:cs="Times New Roman"/>
          <w:bCs/>
        </w:rPr>
        <w:t xml:space="preserve">La deuxième étape a consisté à mettre en place trois groupes de travail en l’occurrence « groupe gouvernance, paix et sécurité », « groupe capital humain » et « groupe modernisation du monde rural » dirigés par les Lead et Co-lead des groupes résultats. A cette étape, il a été aussi examiné et adopté  la structure du document de l’ACP en se référant aux directives du DCO ; </w:t>
      </w:r>
    </w:p>
    <w:p w14:paraId="64643BEE" w14:textId="77777777" w:rsidR="0028280C" w:rsidRPr="00AC72C8" w:rsidRDefault="0028280C" w:rsidP="0028280C">
      <w:pPr>
        <w:pStyle w:val="Paragraphedeliste"/>
        <w:numPr>
          <w:ilvl w:val="0"/>
          <w:numId w:val="24"/>
        </w:numPr>
        <w:jc w:val="both"/>
        <w:rPr>
          <w:rFonts w:ascii="Times New Roman" w:hAnsi="Times New Roman" w:cs="Times New Roman"/>
          <w:bCs/>
        </w:rPr>
      </w:pPr>
      <w:r w:rsidRPr="00AC72C8">
        <w:rPr>
          <w:rFonts w:ascii="Times New Roman" w:hAnsi="Times New Roman" w:cs="Times New Roman"/>
          <w:bCs/>
        </w:rPr>
        <w:lastRenderedPageBreak/>
        <w:t xml:space="preserve">La troisième étape s’est focalisée sur la collecte et l’analyse documentaire, la conduite des entretiens avec des informateurs clés et la production d’une première version préliminaire de l’ACP ; </w:t>
      </w:r>
    </w:p>
    <w:p w14:paraId="745C1577" w14:textId="77777777" w:rsidR="0028280C" w:rsidRPr="00AC72C8" w:rsidRDefault="0028280C" w:rsidP="0028280C">
      <w:pPr>
        <w:pStyle w:val="Paragraphedeliste"/>
        <w:numPr>
          <w:ilvl w:val="0"/>
          <w:numId w:val="24"/>
        </w:numPr>
        <w:jc w:val="both"/>
        <w:rPr>
          <w:rFonts w:ascii="Times New Roman" w:hAnsi="Times New Roman" w:cs="Times New Roman"/>
          <w:bCs/>
        </w:rPr>
      </w:pPr>
      <w:r w:rsidRPr="00AC72C8">
        <w:rPr>
          <w:rFonts w:ascii="Times New Roman" w:hAnsi="Times New Roman" w:cs="Times New Roman"/>
          <w:bCs/>
        </w:rPr>
        <w:t>La quatrième étape a été consacrée à l’analyse causale des problèmes identifiés à la faveur de l’analyse documentaire ;</w:t>
      </w:r>
    </w:p>
    <w:p w14:paraId="0BB067AD" w14:textId="77777777" w:rsidR="0028280C" w:rsidRPr="00AC72C8" w:rsidRDefault="0028280C" w:rsidP="0028280C">
      <w:pPr>
        <w:pStyle w:val="Paragraphedeliste"/>
        <w:numPr>
          <w:ilvl w:val="0"/>
          <w:numId w:val="24"/>
        </w:numPr>
        <w:jc w:val="both"/>
        <w:rPr>
          <w:rFonts w:ascii="Times New Roman" w:hAnsi="Times New Roman" w:cs="Times New Roman"/>
          <w:bCs/>
        </w:rPr>
      </w:pPr>
      <w:r w:rsidRPr="00AC72C8">
        <w:rPr>
          <w:rFonts w:ascii="Times New Roman" w:hAnsi="Times New Roman" w:cs="Times New Roman"/>
          <w:bCs/>
        </w:rPr>
        <w:t xml:space="preserve">La cinquième étape a eu pour objet l’examen et la validation de l’analyse causale par l’équipe pays des Nations ; </w:t>
      </w:r>
    </w:p>
    <w:p w14:paraId="09860BA0" w14:textId="554F1E5A" w:rsidR="0028280C" w:rsidRPr="00AC72C8" w:rsidRDefault="0028280C" w:rsidP="0028280C">
      <w:pPr>
        <w:pStyle w:val="Paragraphedeliste"/>
        <w:numPr>
          <w:ilvl w:val="0"/>
          <w:numId w:val="24"/>
        </w:numPr>
        <w:jc w:val="both"/>
        <w:rPr>
          <w:rFonts w:ascii="Times New Roman" w:hAnsi="Times New Roman" w:cs="Times New Roman"/>
          <w:bCs/>
        </w:rPr>
      </w:pPr>
      <w:r w:rsidRPr="00AC72C8">
        <w:rPr>
          <w:rFonts w:ascii="Times New Roman" w:hAnsi="Times New Roman" w:cs="Times New Roman"/>
          <w:bCs/>
        </w:rPr>
        <w:t>La sixième étape a été marquée par l’organisation des consultations régionales qui ont permis aux acteurs territoriaux de participer au processus de l’ACP</w:t>
      </w:r>
      <w:r w:rsidR="00705BE2">
        <w:rPr>
          <w:rFonts w:ascii="Times New Roman" w:hAnsi="Times New Roman" w:cs="Times New Roman"/>
          <w:bCs/>
        </w:rPr>
        <w:t xml:space="preserve">, </w:t>
      </w:r>
      <w:r w:rsidR="00EE11E6">
        <w:rPr>
          <w:rFonts w:ascii="Times New Roman" w:hAnsi="Times New Roman" w:cs="Times New Roman"/>
          <w:bCs/>
        </w:rPr>
        <w:t xml:space="preserve">et </w:t>
      </w:r>
      <w:r w:rsidR="00705BE2">
        <w:rPr>
          <w:rFonts w:ascii="Times New Roman" w:hAnsi="Times New Roman" w:cs="Times New Roman"/>
          <w:bCs/>
        </w:rPr>
        <w:t xml:space="preserve">des consultations avec </w:t>
      </w:r>
      <w:r w:rsidR="00EE11E6">
        <w:rPr>
          <w:rFonts w:ascii="Times New Roman" w:hAnsi="Times New Roman" w:cs="Times New Roman"/>
          <w:bCs/>
        </w:rPr>
        <w:t>les PTF. Les résultats de ces différentes consultations ont enrichi l’analyse</w:t>
      </w:r>
      <w:r w:rsidRPr="00AC72C8">
        <w:rPr>
          <w:rFonts w:ascii="Times New Roman" w:hAnsi="Times New Roman" w:cs="Times New Roman"/>
          <w:bCs/>
        </w:rPr>
        <w:t xml:space="preserve"> ; </w:t>
      </w:r>
    </w:p>
    <w:p w14:paraId="7678C04E" w14:textId="24BDAE4B" w:rsidR="0028280C" w:rsidRPr="00AC72C8" w:rsidRDefault="0028280C" w:rsidP="0028280C">
      <w:pPr>
        <w:pStyle w:val="Paragraphedeliste"/>
        <w:numPr>
          <w:ilvl w:val="0"/>
          <w:numId w:val="24"/>
        </w:numPr>
        <w:jc w:val="both"/>
        <w:rPr>
          <w:rFonts w:ascii="Times New Roman" w:hAnsi="Times New Roman" w:cs="Times New Roman"/>
          <w:bCs/>
        </w:rPr>
      </w:pPr>
      <w:r w:rsidRPr="00AC72C8">
        <w:rPr>
          <w:rFonts w:ascii="Times New Roman" w:hAnsi="Times New Roman" w:cs="Times New Roman"/>
          <w:bCs/>
        </w:rPr>
        <w:t>La septième étape s’est concentrée sur la rédaction du document de l’ACP</w:t>
      </w:r>
      <w:r w:rsidR="00EE11E6">
        <w:rPr>
          <w:rFonts w:ascii="Times New Roman" w:hAnsi="Times New Roman" w:cs="Times New Roman"/>
          <w:bCs/>
        </w:rPr>
        <w:t xml:space="preserve"> dont la dernière version a été approuvée par l’équipe pays des Nations Unies</w:t>
      </w:r>
      <w:r w:rsidRPr="00AC72C8">
        <w:rPr>
          <w:rFonts w:ascii="Times New Roman" w:hAnsi="Times New Roman" w:cs="Times New Roman"/>
          <w:bCs/>
        </w:rPr>
        <w:t>.</w:t>
      </w:r>
    </w:p>
    <w:p w14:paraId="11765F9C" w14:textId="393C8692" w:rsidR="0028280C" w:rsidRDefault="0028280C" w:rsidP="0028280C">
      <w:pPr>
        <w:jc w:val="both"/>
        <w:rPr>
          <w:rFonts w:ascii="Times New Roman" w:hAnsi="Times New Roman" w:cs="Times New Roman"/>
          <w:bCs/>
        </w:rPr>
      </w:pPr>
      <w:r>
        <w:rPr>
          <w:rFonts w:ascii="Times New Roman" w:hAnsi="Times New Roman" w:cs="Times New Roman"/>
          <w:bCs/>
        </w:rPr>
        <w:t>L’ACP a mis en lumière les problèmes majeurs  et les causes immédiates, sous-jacentes et structurelles ci-après</w:t>
      </w:r>
      <w:r w:rsidR="00EE11E6">
        <w:rPr>
          <w:rStyle w:val="Appelnotedebasdep"/>
          <w:rFonts w:ascii="Times New Roman" w:hAnsi="Times New Roman" w:cs="Times New Roman"/>
          <w:bCs/>
        </w:rPr>
        <w:footnoteReference w:id="1"/>
      </w:r>
      <w:r>
        <w:rPr>
          <w:rFonts w:ascii="Times New Roman" w:hAnsi="Times New Roman" w:cs="Times New Roman"/>
          <w:bCs/>
        </w:rPr>
        <w:t> :</w:t>
      </w:r>
    </w:p>
    <w:p w14:paraId="053E8D1C" w14:textId="77777777" w:rsidR="0028280C" w:rsidRPr="009402E1" w:rsidRDefault="0028280C" w:rsidP="0028280C">
      <w:pPr>
        <w:jc w:val="both"/>
        <w:rPr>
          <w:rFonts w:ascii="Times New Roman" w:hAnsi="Times New Roman" w:cs="Times New Roman"/>
          <w:b/>
          <w:i/>
          <w:color w:val="000000" w:themeColor="text1"/>
          <w:shd w:val="clear" w:color="auto" w:fill="FFFFFF" w:themeFill="background1"/>
        </w:rPr>
      </w:pPr>
      <w:r w:rsidRPr="005904C0">
        <w:rPr>
          <w:rFonts w:ascii="Times New Roman" w:hAnsi="Times New Roman" w:cs="Times New Roman"/>
          <w:bCs/>
          <w:shd w:val="clear" w:color="auto" w:fill="FFFFFF" w:themeFill="background1"/>
        </w:rPr>
        <w:t xml:space="preserve">S’agissant de </w:t>
      </w:r>
      <w:r w:rsidRPr="009402E1">
        <w:rPr>
          <w:rFonts w:ascii="Bernard MT Condensed" w:hAnsi="Bernard MT Condensed" w:cs="Times New Roman"/>
          <w:b/>
          <w:bCs/>
          <w:i/>
          <w:u w:val="single"/>
          <w:shd w:val="clear" w:color="auto" w:fill="FFFFFF" w:themeFill="background1"/>
        </w:rPr>
        <w:t>la gouvernance, la paix et la sécurité</w:t>
      </w:r>
      <w:r w:rsidRPr="005904C0">
        <w:rPr>
          <w:rFonts w:ascii="Times New Roman" w:hAnsi="Times New Roman" w:cs="Times New Roman"/>
          <w:bCs/>
          <w:shd w:val="clear" w:color="auto" w:fill="FFFFFF" w:themeFill="background1"/>
        </w:rPr>
        <w:t xml:space="preserve">, </w:t>
      </w:r>
      <w:r w:rsidRPr="009402E1">
        <w:rPr>
          <w:rFonts w:ascii="Times New Roman" w:hAnsi="Times New Roman" w:cs="Times New Roman"/>
          <w:color w:val="000000" w:themeColor="text1"/>
          <w:shd w:val="clear" w:color="auto" w:fill="FFFFFF" w:themeFill="background1"/>
        </w:rPr>
        <w:t xml:space="preserve">l’ACP a </w:t>
      </w:r>
      <w:r>
        <w:rPr>
          <w:rFonts w:ascii="Times New Roman" w:hAnsi="Times New Roman" w:cs="Times New Roman"/>
          <w:color w:val="000000" w:themeColor="text1"/>
          <w:shd w:val="clear" w:color="auto" w:fill="FFFFFF" w:themeFill="background1"/>
        </w:rPr>
        <w:t>identifié</w:t>
      </w:r>
      <w:r w:rsidRPr="009402E1">
        <w:rPr>
          <w:rFonts w:ascii="Times New Roman" w:hAnsi="Times New Roman" w:cs="Times New Roman"/>
          <w:color w:val="000000" w:themeColor="text1"/>
          <w:shd w:val="clear" w:color="auto" w:fill="FFFFFF" w:themeFill="background1"/>
        </w:rPr>
        <w:t xml:space="preserve"> les problèmes centraux suivants </w:t>
      </w:r>
      <w:r w:rsidRPr="009402E1">
        <w:rPr>
          <w:rFonts w:ascii="Times New Roman" w:hAnsi="Times New Roman" w:cs="Times New Roman"/>
          <w:b/>
          <w:i/>
          <w:color w:val="000000" w:themeColor="text1"/>
          <w:shd w:val="clear" w:color="auto" w:fill="FFFFFF" w:themeFill="background1"/>
        </w:rPr>
        <w:t xml:space="preserve">: </w:t>
      </w:r>
    </w:p>
    <w:p w14:paraId="4BB82FCE" w14:textId="3A98BC19" w:rsidR="0028280C" w:rsidRPr="00EC2972" w:rsidRDefault="0028280C" w:rsidP="0028280C">
      <w:pPr>
        <w:jc w:val="both"/>
        <w:rPr>
          <w:rFonts w:ascii="Times New Roman" w:hAnsi="Times New Roman" w:cs="Times New Roman"/>
          <w:i/>
          <w:color w:val="000000" w:themeColor="text1"/>
          <w:shd w:val="clear" w:color="auto" w:fill="FFFFFF" w:themeFill="background1"/>
        </w:rPr>
      </w:pPr>
      <w:r w:rsidRPr="00EC2972">
        <w:rPr>
          <w:rFonts w:ascii="Times New Roman" w:hAnsi="Times New Roman" w:cs="Times New Roman"/>
          <w:b/>
          <w:i/>
          <w:color w:val="000000" w:themeColor="text1"/>
          <w:shd w:val="clear" w:color="auto" w:fill="FFFFFF" w:themeFill="background1"/>
        </w:rPr>
        <w:t xml:space="preserve">Dans le domaine de la gouvernance politique : Le faible respect du cadre légal et règlementaire. </w:t>
      </w:r>
      <w:r w:rsidRPr="00EC2972">
        <w:rPr>
          <w:rFonts w:ascii="Times New Roman" w:hAnsi="Times New Roman" w:cs="Times New Roman"/>
          <w:color w:val="000000" w:themeColor="text1"/>
          <w:shd w:val="clear" w:color="auto" w:fill="FFFFFF" w:themeFill="background1"/>
        </w:rPr>
        <w:t>Ce problème</w:t>
      </w:r>
      <w:r w:rsidR="00EE11E6">
        <w:rPr>
          <w:rFonts w:ascii="Times New Roman" w:hAnsi="Times New Roman" w:cs="Times New Roman"/>
          <w:color w:val="000000" w:themeColor="text1"/>
          <w:shd w:val="clear" w:color="auto" w:fill="FFFFFF" w:themeFill="background1"/>
        </w:rPr>
        <w:t xml:space="preserve"> majeur</w:t>
      </w:r>
      <w:r w:rsidRPr="00EC2972">
        <w:rPr>
          <w:rFonts w:ascii="Times New Roman" w:hAnsi="Times New Roman" w:cs="Times New Roman"/>
          <w:color w:val="000000" w:themeColor="text1"/>
          <w:shd w:val="clear" w:color="auto" w:fill="FFFFFF" w:themeFill="background1"/>
        </w:rPr>
        <w:t xml:space="preserve"> est imputable aux principales causes suivantes :</w:t>
      </w:r>
      <w:r w:rsidRPr="00EC2972">
        <w:rPr>
          <w:rFonts w:ascii="Times New Roman" w:hAnsi="Times New Roman" w:cs="Times New Roman"/>
          <w:i/>
          <w:color w:val="000000" w:themeColor="text1"/>
          <w:shd w:val="clear" w:color="auto" w:fill="FFFFFF" w:themeFill="background1"/>
        </w:rPr>
        <w:t xml:space="preserve">   La faible connaissance des textes par les titulaires et les détenteurs du droit ; La persistance de l'incivisme ; Le faible dispositif de contrôle ; La faible capacité des citoyens à faire prévaloir leur droits ;  La faible vulgarisation des textes (Lois, Ordonnances, Décrets, Arrêtés, etc.) ; La faiblesse des institutions politiques (faible représentation au niveau local, insuffisance des moyens) ; La persistance des barrières culturelles ; La faiblesse du dialogue politique à tous les niveaux</w:t>
      </w:r>
      <w:r w:rsidR="00EE11E6">
        <w:rPr>
          <w:rFonts w:ascii="Times New Roman" w:hAnsi="Times New Roman" w:cs="Times New Roman"/>
          <w:i/>
          <w:color w:val="000000" w:themeColor="text1"/>
          <w:shd w:val="clear" w:color="auto" w:fill="FFFFFF" w:themeFill="background1"/>
        </w:rPr>
        <w:t>, la s</w:t>
      </w:r>
      <w:r w:rsidRPr="00EC2972">
        <w:rPr>
          <w:rFonts w:ascii="Times New Roman" w:hAnsi="Times New Roman" w:cs="Times New Roman"/>
          <w:i/>
          <w:color w:val="000000" w:themeColor="text1"/>
          <w:shd w:val="clear" w:color="auto" w:fill="FFFFFF" w:themeFill="background1"/>
        </w:rPr>
        <w:t xml:space="preserve">tabilité et </w:t>
      </w:r>
      <w:r w:rsidR="00EE11E6">
        <w:rPr>
          <w:rFonts w:ascii="Times New Roman" w:hAnsi="Times New Roman" w:cs="Times New Roman"/>
          <w:i/>
          <w:color w:val="000000" w:themeColor="text1"/>
          <w:shd w:val="clear" w:color="auto" w:fill="FFFFFF" w:themeFill="background1"/>
        </w:rPr>
        <w:t xml:space="preserve">la </w:t>
      </w:r>
      <w:r w:rsidRPr="00EC2972">
        <w:rPr>
          <w:rFonts w:ascii="Times New Roman" w:hAnsi="Times New Roman" w:cs="Times New Roman"/>
          <w:i/>
          <w:color w:val="000000" w:themeColor="text1"/>
          <w:shd w:val="clear" w:color="auto" w:fill="FFFFFF" w:themeFill="background1"/>
        </w:rPr>
        <w:t>pérennité insuffisantes des Institutions républicaines.</w:t>
      </w:r>
    </w:p>
    <w:p w14:paraId="740EDA5C" w14:textId="1E34909E" w:rsidR="0028280C" w:rsidRDefault="0028280C" w:rsidP="0028280C">
      <w:pPr>
        <w:jc w:val="both"/>
        <w:rPr>
          <w:i/>
        </w:rPr>
      </w:pPr>
      <w:r w:rsidRPr="00EC2972">
        <w:rPr>
          <w:rFonts w:ascii="Times New Roman" w:hAnsi="Times New Roman" w:cs="Times New Roman"/>
          <w:b/>
          <w:i/>
        </w:rPr>
        <w:t>Dans le domaine de la gouvernance sécuritaire : Les faibles capacités de surveillance du territoire, des personnes et de leurs biens</w:t>
      </w:r>
      <w:r w:rsidRPr="00EC2972">
        <w:rPr>
          <w:rFonts w:ascii="Times New Roman" w:hAnsi="Times New Roman" w:cs="Times New Roman"/>
        </w:rPr>
        <w:t> ». Ce problème</w:t>
      </w:r>
      <w:r w:rsidR="00EE11E6">
        <w:rPr>
          <w:rFonts w:ascii="Times New Roman" w:hAnsi="Times New Roman" w:cs="Times New Roman"/>
        </w:rPr>
        <w:t xml:space="preserve"> majeur</w:t>
      </w:r>
      <w:r w:rsidRPr="00EC2972">
        <w:rPr>
          <w:rFonts w:ascii="Times New Roman" w:hAnsi="Times New Roman" w:cs="Times New Roman"/>
        </w:rPr>
        <w:t xml:space="preserve"> est engendrée par les principales causes suivantes : </w:t>
      </w:r>
      <w:r w:rsidRPr="00EC2972">
        <w:rPr>
          <w:rFonts w:ascii="Times New Roman" w:hAnsi="Times New Roman" w:cs="Times New Roman"/>
          <w:i/>
        </w:rPr>
        <w:t>La forte centralisation du dispositif de coordination des opérations ; La formation incomplète/inadaptée des FDS aux nouveaux défis sécuritaires ; La faiblesse du système</w:t>
      </w:r>
      <w:r w:rsidR="00F80CE7">
        <w:rPr>
          <w:rFonts w:ascii="Times New Roman" w:hAnsi="Times New Roman" w:cs="Times New Roman"/>
          <w:i/>
        </w:rPr>
        <w:t xml:space="preserve"> de renseignement militaire ; Les</w:t>
      </w:r>
      <w:r w:rsidRPr="00EC2972">
        <w:rPr>
          <w:rFonts w:ascii="Times New Roman" w:hAnsi="Times New Roman" w:cs="Times New Roman"/>
          <w:i/>
        </w:rPr>
        <w:t xml:space="preserve"> faiblesse</w:t>
      </w:r>
      <w:r w:rsidR="00F80CE7">
        <w:rPr>
          <w:rFonts w:ascii="Times New Roman" w:hAnsi="Times New Roman" w:cs="Times New Roman"/>
          <w:i/>
        </w:rPr>
        <w:t>s relatives à</w:t>
      </w:r>
      <w:r w:rsidRPr="00EC2972">
        <w:rPr>
          <w:rFonts w:ascii="Times New Roman" w:hAnsi="Times New Roman" w:cs="Times New Roman"/>
          <w:i/>
        </w:rPr>
        <w:t xml:space="preserve"> la mise en œuvre du dispositif sécuritaire ; La complexité des conflits (l'extrémisme violent inter/intracommunautaire et des pesanteurs ethno-socio-culturelles) ; Les barrières sociales et culturelles par peur de représailles des groupes terroristes et extrémistes</w:t>
      </w:r>
      <w:r>
        <w:rPr>
          <w:i/>
        </w:rPr>
        <w:t>.</w:t>
      </w:r>
    </w:p>
    <w:p w14:paraId="78DBE42B" w14:textId="10EA87DC" w:rsidR="0028280C" w:rsidRPr="00C56D46" w:rsidRDefault="0028280C" w:rsidP="0028280C">
      <w:pPr>
        <w:pStyle w:val="NormalWeb"/>
        <w:shd w:val="clear" w:color="auto" w:fill="FFFFFF" w:themeFill="background1"/>
        <w:jc w:val="both"/>
        <w:rPr>
          <w:i/>
          <w:sz w:val="22"/>
          <w:szCs w:val="22"/>
        </w:rPr>
      </w:pPr>
      <w:r>
        <w:rPr>
          <w:b/>
          <w:i/>
        </w:rPr>
        <w:t xml:space="preserve">Dans le domaine de la </w:t>
      </w:r>
      <w:r w:rsidRPr="009402E1">
        <w:rPr>
          <w:b/>
          <w:i/>
          <w:sz w:val="22"/>
          <w:szCs w:val="22"/>
        </w:rPr>
        <w:t>gouvernance migratoire</w:t>
      </w:r>
      <w:r>
        <w:rPr>
          <w:b/>
          <w:i/>
          <w:sz w:val="22"/>
          <w:szCs w:val="22"/>
        </w:rPr>
        <w:t xml:space="preserve"> et de l’asile</w:t>
      </w:r>
      <w:r>
        <w:rPr>
          <w:sz w:val="22"/>
          <w:szCs w:val="22"/>
        </w:rPr>
        <w:t xml:space="preserve"> </w:t>
      </w:r>
      <w:r w:rsidRPr="000145CE">
        <w:rPr>
          <w:b/>
          <w:i/>
          <w:sz w:val="22"/>
          <w:szCs w:val="22"/>
        </w:rPr>
        <w:t>: « </w:t>
      </w:r>
      <w:r>
        <w:rPr>
          <w:b/>
          <w:i/>
          <w:sz w:val="22"/>
          <w:szCs w:val="22"/>
        </w:rPr>
        <w:t xml:space="preserve">La </w:t>
      </w:r>
      <w:r>
        <w:rPr>
          <w:b/>
          <w:i/>
        </w:rPr>
        <w:t>f</w:t>
      </w:r>
      <w:r w:rsidRPr="00FA52B1">
        <w:rPr>
          <w:b/>
          <w:i/>
        </w:rPr>
        <w:t>aible opérationnalisation des cadres institutionnels et politiques de la migration</w:t>
      </w:r>
      <w:r>
        <w:rPr>
          <w:b/>
          <w:i/>
        </w:rPr>
        <w:t xml:space="preserve"> et de l’asile</w:t>
      </w:r>
      <w:r w:rsidRPr="00FA52B1">
        <w:rPr>
          <w:b/>
          <w:i/>
        </w:rPr>
        <w:t xml:space="preserve"> »</w:t>
      </w:r>
      <w:r w:rsidRPr="000145CE">
        <w:rPr>
          <w:b/>
          <w:i/>
          <w:sz w:val="22"/>
          <w:szCs w:val="22"/>
        </w:rPr>
        <w:t>.</w:t>
      </w:r>
      <w:r>
        <w:rPr>
          <w:b/>
          <w:i/>
          <w:sz w:val="22"/>
          <w:szCs w:val="22"/>
        </w:rPr>
        <w:t xml:space="preserve"> </w:t>
      </w:r>
      <w:r w:rsidR="00F80CE7">
        <w:rPr>
          <w:sz w:val="22"/>
          <w:szCs w:val="22"/>
        </w:rPr>
        <w:t>Ce problème majeur</w:t>
      </w:r>
      <w:r w:rsidRPr="002D7B2E">
        <w:rPr>
          <w:sz w:val="22"/>
          <w:szCs w:val="22"/>
        </w:rPr>
        <w:t xml:space="preserve"> </w:t>
      </w:r>
      <w:r>
        <w:rPr>
          <w:sz w:val="22"/>
          <w:szCs w:val="22"/>
        </w:rPr>
        <w:t>découle des</w:t>
      </w:r>
      <w:r w:rsidRPr="002D7B2E">
        <w:rPr>
          <w:sz w:val="22"/>
          <w:szCs w:val="22"/>
        </w:rPr>
        <w:t xml:space="preserve"> principales causes suivantes</w:t>
      </w:r>
      <w:r>
        <w:rPr>
          <w:b/>
          <w:i/>
          <w:sz w:val="22"/>
          <w:szCs w:val="22"/>
        </w:rPr>
        <w:t xml:space="preserve"> : (i) </w:t>
      </w:r>
      <w:r w:rsidRPr="00F80CE7">
        <w:rPr>
          <w:i/>
          <w:sz w:val="22"/>
          <w:szCs w:val="22"/>
        </w:rPr>
        <w:t>Le f</w:t>
      </w:r>
      <w:r w:rsidRPr="000145CE">
        <w:rPr>
          <w:i/>
          <w:sz w:val="22"/>
          <w:szCs w:val="22"/>
        </w:rPr>
        <w:t>aible accès des jeunes aux opportunités économiques</w:t>
      </w:r>
      <w:r>
        <w:rPr>
          <w:i/>
          <w:sz w:val="22"/>
          <w:szCs w:val="22"/>
        </w:rPr>
        <w:t xml:space="preserve"> ; (ii) </w:t>
      </w:r>
      <w:r w:rsidRPr="002D7B2E">
        <w:rPr>
          <w:i/>
          <w:sz w:val="22"/>
          <w:szCs w:val="22"/>
        </w:rPr>
        <w:t>La faible cohérence dans la compréhension et l’application des politiques, textes, lois, arrêtés, décrets et autres documents sur la gestion la migration</w:t>
      </w:r>
      <w:r w:rsidR="00F80CE7">
        <w:rPr>
          <w:i/>
          <w:sz w:val="22"/>
          <w:szCs w:val="22"/>
        </w:rPr>
        <w:t xml:space="preserve"> et l’asile</w:t>
      </w:r>
      <w:r w:rsidRPr="002D7B2E">
        <w:rPr>
          <w:i/>
          <w:sz w:val="22"/>
          <w:szCs w:val="22"/>
        </w:rPr>
        <w:t> ; (iii) La forte centralisation de la gestion de la migration</w:t>
      </w:r>
      <w:r w:rsidR="00F80CE7">
        <w:rPr>
          <w:i/>
          <w:sz w:val="22"/>
          <w:szCs w:val="22"/>
        </w:rPr>
        <w:t xml:space="preserve"> et de l’asile</w:t>
      </w:r>
      <w:r w:rsidRPr="002D7B2E">
        <w:rPr>
          <w:i/>
          <w:sz w:val="22"/>
          <w:szCs w:val="22"/>
        </w:rPr>
        <w:t> ; (iv)  La faible mise à disposition de ressources financières et humaines adéquates au sein des structures en charge de la gestion de la migration</w:t>
      </w:r>
      <w:r w:rsidR="00F80CE7">
        <w:rPr>
          <w:i/>
          <w:sz w:val="22"/>
          <w:szCs w:val="22"/>
        </w:rPr>
        <w:t xml:space="preserve"> et de l’asile</w:t>
      </w:r>
      <w:r w:rsidRPr="002D7B2E">
        <w:rPr>
          <w:i/>
          <w:sz w:val="22"/>
          <w:szCs w:val="22"/>
        </w:rPr>
        <w:t> ; (v) La faible existence et mise en œuvre des accords bilatéraux de travail ; (vi) Le manque de coordination au sein des institutions étatiques sur la disponibilité de données régulières et fiables sur les tendances migratoires ; (vii) Le manque d’harmonisation sur les méthodologies de collecte et de diffusion des données sur la migration</w:t>
      </w:r>
      <w:r w:rsidR="00F80CE7">
        <w:rPr>
          <w:i/>
          <w:sz w:val="22"/>
          <w:szCs w:val="22"/>
        </w:rPr>
        <w:t xml:space="preserve"> et l’asile</w:t>
      </w:r>
      <w:r w:rsidRPr="002D7B2E">
        <w:rPr>
          <w:i/>
          <w:sz w:val="22"/>
          <w:szCs w:val="22"/>
        </w:rPr>
        <w:t xml:space="preserve"> ; (viii) La  persistance des migrations irrégulières des jeunes, des </w:t>
      </w:r>
      <w:r w:rsidRPr="002D7B2E">
        <w:rPr>
          <w:i/>
          <w:sz w:val="22"/>
          <w:szCs w:val="22"/>
        </w:rPr>
        <w:lastRenderedPageBreak/>
        <w:t>femmes et des enfants ; (ix) La persistance des pesanteurs socio-culturelles liées à la migration saisonnière.</w:t>
      </w:r>
    </w:p>
    <w:p w14:paraId="26CD436D" w14:textId="27BA76D1" w:rsidR="0028280C" w:rsidRPr="00EC2972" w:rsidRDefault="0028280C" w:rsidP="0028280C">
      <w:pPr>
        <w:shd w:val="clear" w:color="auto" w:fill="FFFFFF" w:themeFill="background1"/>
        <w:jc w:val="both"/>
        <w:rPr>
          <w:rFonts w:ascii="Times New Roman" w:hAnsi="Times New Roman" w:cs="Times New Roman"/>
        </w:rPr>
      </w:pPr>
      <w:r w:rsidRPr="009402E1">
        <w:rPr>
          <w:rFonts w:ascii="Times New Roman" w:hAnsi="Times New Roman" w:cs="Times New Roman"/>
          <w:b/>
          <w:i/>
        </w:rPr>
        <w:t>Dans le domaine de la gouvernance juridique et judiciaire</w:t>
      </w:r>
      <w:r>
        <w:rPr>
          <w:rFonts w:ascii="Times New Roman" w:hAnsi="Times New Roman" w:cs="Times New Roman"/>
        </w:rPr>
        <w:t xml:space="preserve"> : </w:t>
      </w:r>
      <w:r w:rsidR="00F80CE7">
        <w:rPr>
          <w:rFonts w:ascii="Times New Roman" w:hAnsi="Times New Roman" w:cs="Times New Roman"/>
        </w:rPr>
        <w:t xml:space="preserve">Le problème majeur est </w:t>
      </w:r>
      <w:r w:rsidR="00F80CE7" w:rsidRPr="00F80CE7">
        <w:rPr>
          <w:rFonts w:ascii="Times New Roman" w:hAnsi="Times New Roman" w:cs="Times New Roman"/>
          <w:b/>
          <w:i/>
        </w:rPr>
        <w:t>l</w:t>
      </w:r>
      <w:r w:rsidRPr="00EC2972">
        <w:rPr>
          <w:rFonts w:ascii="Times New Roman" w:hAnsi="Times New Roman" w:cs="Times New Roman"/>
          <w:b/>
          <w:i/>
        </w:rPr>
        <w:t>e f</w:t>
      </w:r>
      <w:r w:rsidRPr="00FA1847">
        <w:rPr>
          <w:rFonts w:ascii="Times New Roman" w:hAnsi="Times New Roman" w:cs="Times New Roman"/>
          <w:b/>
          <w:i/>
          <w:sz w:val="24"/>
          <w:szCs w:val="24"/>
        </w:rPr>
        <w:t>aible accès aux services judiciaires et juridiques.</w:t>
      </w:r>
      <w:r>
        <w:rPr>
          <w:rFonts w:ascii="Times New Roman" w:hAnsi="Times New Roman" w:cs="Times New Roman"/>
        </w:rPr>
        <w:t xml:space="preserve"> Il est imputable aux principales causes suivantes : </w:t>
      </w:r>
      <w:r w:rsidRPr="00FA1847">
        <w:rPr>
          <w:rFonts w:ascii="Times New Roman" w:hAnsi="Times New Roman" w:cs="Times New Roman"/>
          <w:i/>
        </w:rPr>
        <w:t>Le  faible maillage territorial  des institutions de la justice ;  L’absence de digital</w:t>
      </w:r>
      <w:r w:rsidR="00F80CE7">
        <w:rPr>
          <w:rFonts w:ascii="Times New Roman" w:hAnsi="Times New Roman" w:cs="Times New Roman"/>
          <w:i/>
        </w:rPr>
        <w:t>isation des données judiciaires</w:t>
      </w:r>
      <w:r w:rsidRPr="00FA1847">
        <w:rPr>
          <w:rFonts w:ascii="Times New Roman" w:hAnsi="Times New Roman" w:cs="Times New Roman"/>
          <w:i/>
        </w:rPr>
        <w:t xml:space="preserve"> ; La faible connaissance des services judiciaires et juridiques ; Le coût élevé de l'accès aux services de la justice ; La faiblesse de la société civile à promouvoir l'accès à la justice ;  L’insuffisance d’infrastructures administratives et de moyens logistiques ; L’insuffisance du personnel judiciaire ; La persistance de la corruption ;  La lenteur judiciaire entraînant notamment la surpopulation carcérale ; La persistance des pesanteurs culturelles et religieuses  pour le recours à la justice. </w:t>
      </w:r>
      <w:r>
        <w:rPr>
          <w:rFonts w:ascii="Times New Roman" w:hAnsi="Times New Roman" w:cs="Times New Roman"/>
        </w:rPr>
        <w:t xml:space="preserve">  </w:t>
      </w:r>
      <w:r w:rsidRPr="00FA1847">
        <w:rPr>
          <w:rFonts w:ascii="Times New Roman" w:hAnsi="Times New Roman" w:cs="Times New Roman"/>
        </w:rPr>
        <w:t xml:space="preserve"> </w:t>
      </w:r>
      <w:r>
        <w:rPr>
          <w:rFonts w:ascii="Times New Roman" w:hAnsi="Times New Roman" w:cs="Times New Roman"/>
        </w:rPr>
        <w:t xml:space="preserve">  </w:t>
      </w:r>
    </w:p>
    <w:p w14:paraId="2BA0858A" w14:textId="09507E0B" w:rsidR="0028280C" w:rsidRDefault="0028280C" w:rsidP="0028280C">
      <w:pPr>
        <w:jc w:val="both"/>
        <w:rPr>
          <w:rFonts w:ascii="Times New Roman" w:hAnsi="Times New Roman" w:cs="Times New Roman"/>
          <w:bCs/>
          <w:i/>
        </w:rPr>
      </w:pPr>
      <w:r w:rsidRPr="009402E1">
        <w:rPr>
          <w:rFonts w:ascii="Times New Roman" w:hAnsi="Times New Roman" w:cs="Times New Roman"/>
          <w:b/>
          <w:i/>
        </w:rPr>
        <w:t>Dans le domaine de la gouvernance administra</w:t>
      </w:r>
      <w:r>
        <w:rPr>
          <w:rFonts w:ascii="Times New Roman" w:hAnsi="Times New Roman" w:cs="Times New Roman"/>
          <w:b/>
          <w:i/>
        </w:rPr>
        <w:t>ti</w:t>
      </w:r>
      <w:r w:rsidRPr="009402E1">
        <w:rPr>
          <w:rFonts w:ascii="Times New Roman" w:hAnsi="Times New Roman" w:cs="Times New Roman"/>
          <w:b/>
          <w:i/>
        </w:rPr>
        <w:t>ve et locale</w:t>
      </w:r>
      <w:r>
        <w:rPr>
          <w:rFonts w:ascii="Times New Roman" w:hAnsi="Times New Roman" w:cs="Times New Roman"/>
        </w:rPr>
        <w:t xml:space="preserve"> : </w:t>
      </w:r>
      <w:r w:rsidR="00F80CE7">
        <w:rPr>
          <w:rFonts w:ascii="Times New Roman" w:hAnsi="Times New Roman" w:cs="Times New Roman"/>
        </w:rPr>
        <w:t xml:space="preserve">Le problème majeur est </w:t>
      </w:r>
      <w:r w:rsidR="00F80CE7">
        <w:rPr>
          <w:rFonts w:ascii="Times New Roman" w:hAnsi="Times New Roman" w:cs="Times New Roman"/>
          <w:b/>
          <w:i/>
          <w:sz w:val="24"/>
          <w:szCs w:val="24"/>
        </w:rPr>
        <w:t>l</w:t>
      </w:r>
      <w:r w:rsidRPr="007B1CD4">
        <w:rPr>
          <w:rFonts w:ascii="Times New Roman" w:hAnsi="Times New Roman" w:cs="Times New Roman"/>
          <w:b/>
          <w:i/>
          <w:sz w:val="24"/>
          <w:szCs w:val="24"/>
        </w:rPr>
        <w:t>e faible accès des pop</w:t>
      </w:r>
      <w:r>
        <w:rPr>
          <w:rFonts w:ascii="Times New Roman" w:hAnsi="Times New Roman" w:cs="Times New Roman"/>
          <w:b/>
          <w:i/>
          <w:sz w:val="24"/>
          <w:szCs w:val="24"/>
        </w:rPr>
        <w:t>ulations à des services public</w:t>
      </w:r>
      <w:r w:rsidRPr="007B1CD4">
        <w:rPr>
          <w:rFonts w:ascii="Times New Roman" w:hAnsi="Times New Roman" w:cs="Times New Roman"/>
          <w:b/>
          <w:i/>
          <w:sz w:val="24"/>
          <w:szCs w:val="24"/>
        </w:rPr>
        <w:t>s de qualité.</w:t>
      </w:r>
      <w:r>
        <w:rPr>
          <w:rFonts w:ascii="Times New Roman" w:hAnsi="Times New Roman" w:cs="Times New Roman"/>
          <w:sz w:val="24"/>
          <w:szCs w:val="24"/>
        </w:rPr>
        <w:t xml:space="preserve"> </w:t>
      </w:r>
      <w:r w:rsidRPr="007B1CD4">
        <w:rPr>
          <w:rFonts w:ascii="Times New Roman" w:hAnsi="Times New Roman" w:cs="Times New Roman"/>
        </w:rPr>
        <w:t xml:space="preserve">Le principales causes de ce problème sont : </w:t>
      </w:r>
      <w:r w:rsidRPr="007B1CD4">
        <w:rPr>
          <w:rFonts w:ascii="Times New Roman" w:hAnsi="Times New Roman" w:cs="Times New Roman"/>
          <w:i/>
        </w:rPr>
        <w:t>La m</w:t>
      </w:r>
      <w:r w:rsidRPr="007B1CD4">
        <w:rPr>
          <w:rFonts w:ascii="Times New Roman" w:hAnsi="Times New Roman" w:cs="Times New Roman"/>
          <w:bCs/>
          <w:i/>
        </w:rPr>
        <w:t xml:space="preserve">auvaise gestion prévisionnelle des emplois et compétences ; </w:t>
      </w:r>
      <w:r w:rsidRPr="007B1CD4">
        <w:rPr>
          <w:rFonts w:ascii="Times New Roman" w:hAnsi="Times New Roman" w:cs="Times New Roman"/>
          <w:i/>
        </w:rPr>
        <w:t>Le m</w:t>
      </w:r>
      <w:r w:rsidRPr="007B1CD4">
        <w:rPr>
          <w:rFonts w:ascii="Times New Roman" w:hAnsi="Times New Roman" w:cs="Times New Roman"/>
          <w:bCs/>
          <w:i/>
        </w:rPr>
        <w:t>anque d'infrastructures, d'équipement</w:t>
      </w:r>
      <w:r w:rsidR="00F80CE7">
        <w:rPr>
          <w:rFonts w:ascii="Times New Roman" w:hAnsi="Times New Roman" w:cs="Times New Roman"/>
          <w:bCs/>
          <w:i/>
        </w:rPr>
        <w:t>s</w:t>
      </w:r>
      <w:r w:rsidRPr="007B1CD4">
        <w:rPr>
          <w:rFonts w:ascii="Times New Roman" w:hAnsi="Times New Roman" w:cs="Times New Roman"/>
          <w:bCs/>
          <w:i/>
        </w:rPr>
        <w:t xml:space="preserve">  et de personnel qualifié ; </w:t>
      </w:r>
      <w:r w:rsidRPr="007B1CD4">
        <w:rPr>
          <w:rFonts w:ascii="Times New Roman" w:hAnsi="Times New Roman" w:cs="Times New Roman"/>
          <w:i/>
        </w:rPr>
        <w:t>L’i</w:t>
      </w:r>
      <w:r w:rsidRPr="007B1CD4">
        <w:rPr>
          <w:rFonts w:ascii="Times New Roman" w:hAnsi="Times New Roman" w:cs="Times New Roman"/>
          <w:bCs/>
          <w:i/>
        </w:rPr>
        <w:t>nsuffisance  des services administratifs de proximité</w:t>
      </w:r>
      <w:r w:rsidRPr="007B1CD4">
        <w:rPr>
          <w:rFonts w:ascii="Times New Roman" w:hAnsi="Times New Roman" w:cs="Times New Roman"/>
          <w:i/>
        </w:rPr>
        <w:t> ; La f</w:t>
      </w:r>
      <w:r w:rsidRPr="007B1CD4">
        <w:rPr>
          <w:rFonts w:ascii="Times New Roman" w:hAnsi="Times New Roman" w:cs="Times New Roman"/>
          <w:bCs/>
          <w:i/>
        </w:rPr>
        <w:t>aible capacité de mobilisation des ressources financières</w:t>
      </w:r>
      <w:r w:rsidRPr="007B1CD4">
        <w:rPr>
          <w:rFonts w:ascii="Times New Roman" w:hAnsi="Times New Roman" w:cs="Times New Roman"/>
          <w:i/>
        </w:rPr>
        <w:t> ; L’i</w:t>
      </w:r>
      <w:r w:rsidRPr="007B1CD4">
        <w:rPr>
          <w:rFonts w:ascii="Times New Roman" w:hAnsi="Times New Roman" w:cs="Times New Roman"/>
          <w:bCs/>
          <w:i/>
        </w:rPr>
        <w:t>nadéquation entre les missions dévolues à l’administration territoriale et le profil du personnel qui y exerce ;</w:t>
      </w:r>
      <w:r w:rsidRPr="007B1CD4">
        <w:rPr>
          <w:rFonts w:ascii="Times New Roman" w:hAnsi="Times New Roman" w:cs="Times New Roman"/>
          <w:i/>
        </w:rPr>
        <w:t xml:space="preserve"> L’i</w:t>
      </w:r>
      <w:r w:rsidRPr="007B1CD4">
        <w:rPr>
          <w:rFonts w:ascii="Times New Roman" w:hAnsi="Times New Roman" w:cs="Times New Roman"/>
          <w:bCs/>
          <w:i/>
        </w:rPr>
        <w:t>ncohérence entre l'allocation effective des ressources financières et la dévolution de responsabilités aux collectivités locales</w:t>
      </w:r>
      <w:r w:rsidRPr="007B1CD4">
        <w:rPr>
          <w:rFonts w:ascii="Times New Roman" w:hAnsi="Times New Roman" w:cs="Times New Roman"/>
          <w:i/>
        </w:rPr>
        <w:t> ; Le f</w:t>
      </w:r>
      <w:r w:rsidRPr="007B1CD4">
        <w:rPr>
          <w:rFonts w:ascii="Times New Roman" w:hAnsi="Times New Roman" w:cs="Times New Roman"/>
          <w:bCs/>
          <w:i/>
        </w:rPr>
        <w:t>aible niveau d’opérationnalisation des textes de la fonction publique territoriale ;</w:t>
      </w:r>
      <w:r w:rsidRPr="007B1CD4">
        <w:rPr>
          <w:rFonts w:ascii="Times New Roman" w:hAnsi="Times New Roman" w:cs="Times New Roman"/>
          <w:i/>
        </w:rPr>
        <w:t xml:space="preserve"> Le f</w:t>
      </w:r>
      <w:r w:rsidRPr="007B1CD4">
        <w:rPr>
          <w:rFonts w:ascii="Times New Roman" w:hAnsi="Times New Roman" w:cs="Times New Roman"/>
          <w:bCs/>
          <w:i/>
        </w:rPr>
        <w:t>aible niveau d’appropriation des textes sur la décentralisation par les élus locaux et les autres acteurs du processus de mise en œuvre de la décentralisation ;</w:t>
      </w:r>
      <w:r w:rsidRPr="007B1CD4">
        <w:rPr>
          <w:rFonts w:ascii="Times New Roman" w:hAnsi="Times New Roman" w:cs="Times New Roman"/>
          <w:i/>
        </w:rPr>
        <w:t xml:space="preserve"> Le f</w:t>
      </w:r>
      <w:r w:rsidRPr="007B1CD4">
        <w:rPr>
          <w:rFonts w:ascii="Times New Roman" w:hAnsi="Times New Roman" w:cs="Times New Roman"/>
          <w:bCs/>
          <w:i/>
        </w:rPr>
        <w:t xml:space="preserve">aible niveau d'effectivité du transfert des compétences et de ressources par l’Etat aux collectivités territoriales ; </w:t>
      </w:r>
      <w:r w:rsidR="00F80CE7">
        <w:rPr>
          <w:rFonts w:ascii="Times New Roman" w:hAnsi="Times New Roman" w:cs="Times New Roman"/>
          <w:i/>
        </w:rPr>
        <w:t xml:space="preserve">La faiblesse relative à </w:t>
      </w:r>
      <w:r w:rsidRPr="007B1CD4">
        <w:rPr>
          <w:rFonts w:ascii="Times New Roman" w:hAnsi="Times New Roman" w:cs="Times New Roman"/>
          <w:bCs/>
          <w:i/>
        </w:rPr>
        <w:t xml:space="preserve"> la maîtrise d’ouvrage du développement local par les collectivités territoriales</w:t>
      </w:r>
    </w:p>
    <w:p w14:paraId="482FC9E9" w14:textId="1613AF8B" w:rsidR="0028280C" w:rsidRDefault="0028280C" w:rsidP="0028280C">
      <w:pPr>
        <w:jc w:val="both"/>
        <w:rPr>
          <w:rFonts w:ascii="Times New Roman" w:hAnsi="Times New Roman" w:cs="Times New Roman"/>
          <w:i/>
        </w:rPr>
      </w:pPr>
      <w:r w:rsidRPr="009402E1">
        <w:rPr>
          <w:rFonts w:ascii="Times New Roman" w:hAnsi="Times New Roman" w:cs="Times New Roman"/>
          <w:b/>
          <w:i/>
          <w:color w:val="000000" w:themeColor="text1"/>
        </w:rPr>
        <w:t>Dans le domaine de la gouvernance économique</w:t>
      </w:r>
      <w:r>
        <w:rPr>
          <w:rFonts w:ascii="Times New Roman" w:hAnsi="Times New Roman" w:cs="Times New Roman"/>
          <w:color w:val="000000" w:themeColor="text1"/>
        </w:rPr>
        <w:t xml:space="preserve"> : </w:t>
      </w:r>
      <w:r w:rsidR="00F80CE7">
        <w:rPr>
          <w:rFonts w:ascii="Times New Roman" w:hAnsi="Times New Roman" w:cs="Times New Roman"/>
          <w:color w:val="000000" w:themeColor="text1"/>
        </w:rPr>
        <w:t xml:space="preserve">Le problème majeur est </w:t>
      </w:r>
      <w:r w:rsidRPr="00EC2972">
        <w:rPr>
          <w:rFonts w:ascii="Times New Roman" w:hAnsi="Times New Roman" w:cs="Times New Roman"/>
          <w:b/>
          <w:i/>
          <w:color w:val="000000" w:themeColor="text1"/>
        </w:rPr>
        <w:t>La faible opérationnalisation de la chaine PPBS (articulation entre la planification et la budgétisation)</w:t>
      </w:r>
      <w:r w:rsidR="00F80CE7">
        <w:rPr>
          <w:rFonts w:ascii="Times New Roman" w:hAnsi="Times New Roman" w:cs="Times New Roman"/>
          <w:b/>
          <w:i/>
          <w:color w:val="000000" w:themeColor="text1"/>
        </w:rPr>
        <w:t xml:space="preserve">, la faible efficacité et </w:t>
      </w:r>
      <w:r>
        <w:rPr>
          <w:rFonts w:ascii="Times New Roman" w:hAnsi="Times New Roman" w:cs="Times New Roman"/>
          <w:b/>
          <w:i/>
          <w:color w:val="000000" w:themeColor="text1"/>
        </w:rPr>
        <w:t xml:space="preserve">la </w:t>
      </w:r>
      <w:r w:rsidR="00F80CE7">
        <w:rPr>
          <w:rFonts w:ascii="Times New Roman" w:hAnsi="Times New Roman" w:cs="Times New Roman"/>
          <w:b/>
          <w:i/>
          <w:color w:val="000000" w:themeColor="text1"/>
        </w:rPr>
        <w:t xml:space="preserve">faible </w:t>
      </w:r>
      <w:r>
        <w:rPr>
          <w:rFonts w:ascii="Times New Roman" w:hAnsi="Times New Roman" w:cs="Times New Roman"/>
          <w:b/>
          <w:i/>
          <w:color w:val="000000" w:themeColor="text1"/>
        </w:rPr>
        <w:t>qualité des politiques publiques</w:t>
      </w:r>
      <w:r w:rsidRPr="00EC2972">
        <w:rPr>
          <w:rFonts w:ascii="Times New Roman" w:hAnsi="Times New Roman" w:cs="Times New Roman"/>
          <w:b/>
          <w:i/>
        </w:rPr>
        <w:t>.</w:t>
      </w:r>
      <w:r w:rsidRPr="00EC2972">
        <w:rPr>
          <w:rFonts w:ascii="Times New Roman" w:hAnsi="Times New Roman" w:cs="Times New Roman"/>
        </w:rPr>
        <w:t xml:space="preserve"> Celui</w:t>
      </w:r>
      <w:r w:rsidR="00F80CE7">
        <w:rPr>
          <w:rFonts w:ascii="Times New Roman" w:hAnsi="Times New Roman" w:cs="Times New Roman"/>
        </w:rPr>
        <w:t>-ci</w:t>
      </w:r>
      <w:r w:rsidRPr="00EC2972">
        <w:rPr>
          <w:rFonts w:ascii="Times New Roman" w:hAnsi="Times New Roman" w:cs="Times New Roman"/>
        </w:rPr>
        <w:t xml:space="preserve"> est dû aux principales causes suivantes : </w:t>
      </w:r>
      <w:r w:rsidRPr="00EC2972">
        <w:rPr>
          <w:rFonts w:ascii="Times New Roman" w:hAnsi="Times New Roman" w:cs="Times New Roman"/>
          <w:i/>
        </w:rPr>
        <w:t>La faiblesse de la coordination entre les structures centrales de planification stratégique et les structures centrales d'exécution budgétaire ; Le faible niveau de développement et de dynamisme du secteur privé ;  L’insuffisance dans l’articulation de la chaine de planification au niveau national, sectoriel, régional et local ;  L’Insuffisance de cohérence entre les cadres stratégiques sectoriels, PDR/PDC et les orientations nationales ;</w:t>
      </w:r>
      <w:r w:rsidR="00FC6F1A">
        <w:rPr>
          <w:rFonts w:ascii="Times New Roman" w:hAnsi="Times New Roman" w:cs="Times New Roman"/>
          <w:i/>
        </w:rPr>
        <w:t xml:space="preserve"> L’insuffisance de la transparence et dispon</w:t>
      </w:r>
      <w:r w:rsidR="00F80CE7">
        <w:rPr>
          <w:rFonts w:ascii="Times New Roman" w:hAnsi="Times New Roman" w:cs="Times New Roman"/>
          <w:i/>
        </w:rPr>
        <w:t>ibilité de données désagrégées ; La faiblesse du suivi et évaluation des politiques publiques, des programmes et des projets.</w:t>
      </w:r>
    </w:p>
    <w:p w14:paraId="6C61D41F" w14:textId="5DE86648" w:rsidR="0028280C" w:rsidRDefault="0028280C" w:rsidP="0028280C">
      <w:pPr>
        <w:jc w:val="both"/>
        <w:rPr>
          <w:rFonts w:ascii="Times New Roman" w:hAnsi="Times New Roman" w:cs="Times New Roman"/>
          <w:i/>
        </w:rPr>
      </w:pPr>
      <w:r w:rsidRPr="005C75A9">
        <w:rPr>
          <w:rFonts w:ascii="Bernard MT Condensed" w:hAnsi="Bernard MT Condensed" w:cs="Times New Roman"/>
          <w:b/>
          <w:i/>
          <w:u w:val="single"/>
        </w:rPr>
        <w:t>En ce qui concerne le capital humain</w:t>
      </w:r>
      <w:r w:rsidR="005C75A9" w:rsidRPr="005C75A9">
        <w:rPr>
          <w:rFonts w:ascii="Times New Roman" w:hAnsi="Times New Roman" w:cs="Times New Roman"/>
          <w:b/>
          <w:i/>
        </w:rPr>
        <w:t xml:space="preserve"> : </w:t>
      </w:r>
      <w:r w:rsidR="005C75A9">
        <w:rPr>
          <w:rFonts w:ascii="Times New Roman" w:hAnsi="Times New Roman" w:cs="Times New Roman"/>
          <w:lang w:eastAsia="fr-FR"/>
        </w:rPr>
        <w:t>L</w:t>
      </w:r>
      <w:r w:rsidRPr="005C75A9">
        <w:rPr>
          <w:rFonts w:ascii="Times New Roman" w:hAnsi="Times New Roman" w:cs="Times New Roman"/>
          <w:lang w:eastAsia="fr-FR"/>
        </w:rPr>
        <w:t xml:space="preserve">e problème </w:t>
      </w:r>
      <w:r w:rsidR="005C75A9">
        <w:rPr>
          <w:rFonts w:ascii="Times New Roman" w:hAnsi="Times New Roman" w:cs="Times New Roman"/>
          <w:lang w:eastAsia="fr-FR"/>
        </w:rPr>
        <w:t xml:space="preserve">majeur </w:t>
      </w:r>
      <w:r w:rsidRPr="005C75A9">
        <w:rPr>
          <w:rFonts w:ascii="Times New Roman" w:hAnsi="Times New Roman" w:cs="Times New Roman"/>
          <w:lang w:eastAsia="fr-FR"/>
        </w:rPr>
        <w:t>est</w:t>
      </w:r>
      <w:r w:rsidR="005C75A9" w:rsidRPr="005C75A9">
        <w:rPr>
          <w:rFonts w:ascii="Times New Roman" w:eastAsia="Times New Roman" w:hAnsi="Times New Roman" w:cs="Times New Roman"/>
          <w:b/>
          <w:bCs/>
          <w:i/>
          <w:color w:val="000000" w:themeColor="text1"/>
          <w:lang w:eastAsia="fr-FR"/>
        </w:rPr>
        <w:t xml:space="preserve"> </w:t>
      </w:r>
      <w:r w:rsidR="005C75A9">
        <w:rPr>
          <w:rFonts w:ascii="Times New Roman" w:eastAsia="Times New Roman" w:hAnsi="Times New Roman" w:cs="Times New Roman"/>
          <w:b/>
          <w:bCs/>
          <w:i/>
          <w:color w:val="000000" w:themeColor="text1"/>
          <w:lang w:eastAsia="fr-FR"/>
        </w:rPr>
        <w:t>l’</w:t>
      </w:r>
      <w:r w:rsidR="005C75A9" w:rsidRPr="00EC2972">
        <w:rPr>
          <w:rFonts w:ascii="Times New Roman" w:eastAsia="Times New Roman" w:hAnsi="Times New Roman" w:cs="Times New Roman"/>
          <w:b/>
          <w:bCs/>
          <w:i/>
          <w:color w:val="000000" w:themeColor="text1"/>
          <w:lang w:eastAsia="fr-FR"/>
        </w:rPr>
        <w:t>accès limité aux services sociaux de base et à un emploi décent du fait d’une forte pression démographique qui grève la richesse nationale produite</w:t>
      </w:r>
      <w:r w:rsidR="005C75A9">
        <w:rPr>
          <w:rFonts w:ascii="Times New Roman" w:eastAsia="Times New Roman" w:hAnsi="Times New Roman" w:cs="Times New Roman"/>
          <w:b/>
          <w:bCs/>
          <w:i/>
          <w:color w:val="000000" w:themeColor="text1"/>
          <w:lang w:eastAsia="fr-FR"/>
        </w:rPr>
        <w:t>. Il en résulte un</w:t>
      </w:r>
      <w:r w:rsidRPr="00EC2972">
        <w:rPr>
          <w:rFonts w:ascii="Times New Roman" w:hAnsi="Times New Roman" w:cs="Times New Roman"/>
          <w:b/>
          <w:i/>
          <w:lang w:eastAsia="fr-FR"/>
        </w:rPr>
        <w:t xml:space="preserve"> f</w:t>
      </w:r>
      <w:r w:rsidRPr="00EC2972">
        <w:rPr>
          <w:rFonts w:ascii="Times New Roman" w:eastAsia="Times New Roman" w:hAnsi="Times New Roman" w:cs="Times New Roman"/>
          <w:b/>
          <w:bCs/>
          <w:i/>
          <w:color w:val="000000" w:themeColor="text1"/>
          <w:lang w:eastAsia="fr-FR"/>
        </w:rPr>
        <w:t xml:space="preserve">aible développement </w:t>
      </w:r>
      <w:r w:rsidR="005C75A9">
        <w:rPr>
          <w:rFonts w:ascii="Times New Roman" w:eastAsia="Times New Roman" w:hAnsi="Times New Roman" w:cs="Times New Roman"/>
          <w:b/>
          <w:bCs/>
          <w:i/>
          <w:color w:val="000000" w:themeColor="text1"/>
          <w:lang w:eastAsia="fr-FR"/>
        </w:rPr>
        <w:t>du capital humain</w:t>
      </w:r>
      <w:r w:rsidRPr="00EC2972">
        <w:rPr>
          <w:rFonts w:ascii="Times New Roman" w:eastAsia="Times New Roman" w:hAnsi="Times New Roman" w:cs="Times New Roman"/>
          <w:b/>
          <w:bCs/>
          <w:i/>
          <w:color w:val="000000" w:themeColor="text1"/>
          <w:lang w:eastAsia="fr-FR"/>
        </w:rPr>
        <w:t>.</w:t>
      </w:r>
      <w:r w:rsidRPr="00EC2972">
        <w:rPr>
          <w:rFonts w:ascii="Times New Roman" w:eastAsia="Times New Roman" w:hAnsi="Times New Roman" w:cs="Times New Roman"/>
          <w:b/>
          <w:bCs/>
          <w:color w:val="000000" w:themeColor="text1"/>
          <w:lang w:eastAsia="fr-FR"/>
        </w:rPr>
        <w:t xml:space="preserve"> </w:t>
      </w:r>
      <w:r w:rsidRPr="00EC2972">
        <w:rPr>
          <w:rFonts w:ascii="Times New Roman" w:eastAsia="Times New Roman" w:hAnsi="Times New Roman" w:cs="Times New Roman"/>
          <w:bCs/>
          <w:color w:val="000000" w:themeColor="text1"/>
          <w:lang w:eastAsia="fr-FR"/>
        </w:rPr>
        <w:t xml:space="preserve">Il convient </w:t>
      </w:r>
      <w:r w:rsidR="005C75A9">
        <w:rPr>
          <w:rFonts w:ascii="Times New Roman" w:eastAsia="Times New Roman" w:hAnsi="Times New Roman" w:cs="Times New Roman"/>
          <w:bCs/>
          <w:color w:val="000000" w:themeColor="text1"/>
          <w:lang w:eastAsia="fr-FR"/>
        </w:rPr>
        <w:t xml:space="preserve">de signaler </w:t>
      </w:r>
      <w:r w:rsidRPr="00EC2972">
        <w:rPr>
          <w:rFonts w:ascii="Times New Roman" w:eastAsia="Times New Roman" w:hAnsi="Times New Roman" w:cs="Times New Roman"/>
          <w:bCs/>
          <w:color w:val="000000" w:themeColor="text1"/>
          <w:lang w:eastAsia="fr-FR"/>
        </w:rPr>
        <w:t>que</w:t>
      </w:r>
      <w:r w:rsidRPr="00EC2972">
        <w:rPr>
          <w:rFonts w:ascii="Times New Roman" w:eastAsia="Times New Roman" w:hAnsi="Times New Roman" w:cs="Times New Roman"/>
          <w:b/>
          <w:bCs/>
          <w:color w:val="000000" w:themeColor="text1"/>
          <w:lang w:eastAsia="fr-FR"/>
        </w:rPr>
        <w:t xml:space="preserve"> </w:t>
      </w:r>
      <w:r w:rsidR="005C75A9">
        <w:rPr>
          <w:rFonts w:ascii="Times New Roman" w:hAnsi="Times New Roman" w:cs="Times New Roman"/>
          <w:lang w:eastAsia="fr-FR"/>
        </w:rPr>
        <w:t>le caractère m</w:t>
      </w:r>
      <w:r w:rsidR="005C75A9">
        <w:rPr>
          <w:rFonts w:ascii="Times New Roman" w:eastAsia="Times New Roman" w:hAnsi="Times New Roman" w:cs="Times New Roman"/>
          <w:lang w:eastAsia="fr-FR"/>
        </w:rPr>
        <w:t>ultidimensionnel de ce problème afin de</w:t>
      </w:r>
      <w:r w:rsidRPr="00EC2972">
        <w:rPr>
          <w:rFonts w:ascii="Times New Roman" w:eastAsia="Times New Roman" w:hAnsi="Times New Roman" w:cs="Times New Roman"/>
          <w:lang w:eastAsia="fr-FR"/>
        </w:rPr>
        <w:t xml:space="preserve"> rendre compte de l’effet négatif des interrelations Population et Développement humain. Il s’agit de : (i) </w:t>
      </w:r>
      <w:r w:rsidRPr="00EC2972">
        <w:rPr>
          <w:rFonts w:ascii="Times New Roman" w:hAnsi="Times New Roman" w:cs="Times New Roman"/>
          <w:i/>
        </w:rPr>
        <w:t>Faible accès aux services de santé y compris de reproduction, maternelle, néonatale et infantile et de nutrition (SRMNIN) ; (ii) Faible</w:t>
      </w:r>
      <w:r w:rsidRPr="00EC2972">
        <w:rPr>
          <w:rFonts w:ascii="Times New Roman" w:eastAsia="Times New Roman" w:hAnsi="Times New Roman" w:cs="Times New Roman"/>
          <w:i/>
          <w:lang w:eastAsia="fr-FR"/>
        </w:rPr>
        <w:t xml:space="preserve"> accès aux services d’éducation et de formation de qualité ; (iii) Faible accès aux services d’eau, d’hygiène et d’assainissement ;(iv) </w:t>
      </w:r>
      <w:r w:rsidRPr="00EC2972">
        <w:rPr>
          <w:rFonts w:ascii="Times New Roman" w:hAnsi="Times New Roman" w:cs="Times New Roman"/>
          <w:i/>
        </w:rPr>
        <w:t>Faible accès à l’emploi décent et à un système de protection sociale favorable aux groupes vulnérables</w:t>
      </w:r>
      <w:r>
        <w:rPr>
          <w:rFonts w:ascii="Times New Roman" w:hAnsi="Times New Roman" w:cs="Times New Roman"/>
          <w:i/>
        </w:rPr>
        <w:t>.</w:t>
      </w:r>
    </w:p>
    <w:p w14:paraId="04EC5220" w14:textId="738F6844" w:rsidR="00FC6F1A" w:rsidRPr="005C75A9" w:rsidRDefault="00FC6F1A" w:rsidP="0028280C">
      <w:pPr>
        <w:jc w:val="both"/>
        <w:rPr>
          <w:rFonts w:ascii="Times New Roman" w:hAnsi="Times New Roman" w:cs="Times New Roman"/>
        </w:rPr>
      </w:pPr>
      <w:r w:rsidRPr="00FC6F1A">
        <w:rPr>
          <w:rFonts w:ascii="Bernard MT Condensed" w:hAnsi="Bernard MT Condensed" w:cs="Times New Roman"/>
          <w:b/>
          <w:i/>
          <w:u w:val="single"/>
        </w:rPr>
        <w:t>En ce qui concerne les droits humains et le Genre</w:t>
      </w:r>
      <w:r w:rsidR="005C75A9">
        <w:rPr>
          <w:rFonts w:ascii="Times New Roman" w:hAnsi="Times New Roman" w:cs="Times New Roman"/>
          <w:b/>
          <w:i/>
        </w:rPr>
        <w:t xml:space="preserve"> : </w:t>
      </w:r>
      <w:r w:rsidR="005C75A9" w:rsidRPr="005C75A9">
        <w:rPr>
          <w:rFonts w:ascii="Times New Roman" w:hAnsi="Times New Roman" w:cs="Times New Roman"/>
        </w:rPr>
        <w:t>Le problème majeur</w:t>
      </w:r>
      <w:r w:rsidR="005C75A9">
        <w:rPr>
          <w:rFonts w:ascii="Times New Roman" w:hAnsi="Times New Roman" w:cs="Times New Roman"/>
        </w:rPr>
        <w:t xml:space="preserve"> est </w:t>
      </w:r>
      <w:r w:rsidR="005C75A9" w:rsidRPr="005C75A9">
        <w:rPr>
          <w:rFonts w:ascii="Times New Roman" w:hAnsi="Times New Roman" w:cs="Times New Roman"/>
          <w:b/>
          <w:i/>
        </w:rPr>
        <w:t xml:space="preserve">la persistance de faiblesses notables en matière de réalisation, de protection et de promotion des droits humains en dépit  </w:t>
      </w:r>
      <w:r w:rsidR="00C4350A" w:rsidRPr="005C75A9">
        <w:rPr>
          <w:rFonts w:ascii="Times New Roman" w:hAnsi="Times New Roman" w:cs="Times New Roman"/>
          <w:b/>
          <w:i/>
        </w:rPr>
        <w:t>des efforts considérables consentis par le Niger pour</w:t>
      </w:r>
      <w:r w:rsidR="005C75A9" w:rsidRPr="005C75A9">
        <w:rPr>
          <w:rFonts w:ascii="Times New Roman" w:hAnsi="Times New Roman" w:cs="Times New Roman"/>
          <w:b/>
          <w:i/>
        </w:rPr>
        <w:t xml:space="preserve"> le respect d</w:t>
      </w:r>
      <w:r w:rsidR="00C4350A" w:rsidRPr="005C75A9">
        <w:rPr>
          <w:rFonts w:ascii="Times New Roman" w:hAnsi="Times New Roman" w:cs="Times New Roman"/>
          <w:b/>
          <w:i/>
        </w:rPr>
        <w:t>es engagements inter</w:t>
      </w:r>
      <w:r w:rsidR="005C75A9" w:rsidRPr="005C75A9">
        <w:rPr>
          <w:rFonts w:ascii="Times New Roman" w:hAnsi="Times New Roman" w:cs="Times New Roman"/>
          <w:b/>
          <w:i/>
        </w:rPr>
        <w:t>nationaux</w:t>
      </w:r>
      <w:r w:rsidR="005C75A9">
        <w:rPr>
          <w:rFonts w:ascii="Times New Roman" w:hAnsi="Times New Roman" w:cs="Times New Roman"/>
          <w:b/>
          <w:i/>
        </w:rPr>
        <w:t xml:space="preserve">. </w:t>
      </w:r>
      <w:r w:rsidR="005C75A9">
        <w:rPr>
          <w:rFonts w:ascii="Times New Roman" w:hAnsi="Times New Roman" w:cs="Times New Roman"/>
        </w:rPr>
        <w:t xml:space="preserve">Les principales causes de ce problème majeur sont : </w:t>
      </w:r>
      <w:r w:rsidR="001050D5" w:rsidRPr="001050D5">
        <w:rPr>
          <w:rFonts w:ascii="Times New Roman" w:hAnsi="Times New Roman" w:cs="Times New Roman"/>
          <w:i/>
        </w:rPr>
        <w:t>Les connaissances insuffisantes des droits</w:t>
      </w:r>
      <w:r w:rsidR="001050D5">
        <w:rPr>
          <w:rFonts w:ascii="Times New Roman" w:hAnsi="Times New Roman" w:cs="Times New Roman"/>
        </w:rPr>
        <w:t xml:space="preserve"> et </w:t>
      </w:r>
      <w:r w:rsidR="001050D5">
        <w:rPr>
          <w:rFonts w:ascii="Times New Roman" w:hAnsi="Times New Roman" w:cs="Times New Roman"/>
          <w:i/>
        </w:rPr>
        <w:t>l</w:t>
      </w:r>
      <w:r w:rsidR="005C75A9" w:rsidRPr="001050D5">
        <w:rPr>
          <w:rFonts w:ascii="Times New Roman" w:hAnsi="Times New Roman" w:cs="Times New Roman"/>
          <w:i/>
        </w:rPr>
        <w:t>es faibles capacités des détenteurs d’obligations notamment des institutions publiques à faire face à leurs obligations ;</w:t>
      </w:r>
      <w:r w:rsidR="001050D5" w:rsidRPr="001050D5">
        <w:rPr>
          <w:rFonts w:ascii="Times New Roman" w:hAnsi="Times New Roman" w:cs="Times New Roman"/>
          <w:i/>
        </w:rPr>
        <w:t xml:space="preserve"> Les connaissances insuffisantes des droits</w:t>
      </w:r>
      <w:r w:rsidR="001050D5">
        <w:rPr>
          <w:rFonts w:ascii="Times New Roman" w:hAnsi="Times New Roman" w:cs="Times New Roman"/>
          <w:i/>
        </w:rPr>
        <w:t xml:space="preserve"> et </w:t>
      </w:r>
      <w:r w:rsidR="005C75A9" w:rsidRPr="001050D5">
        <w:rPr>
          <w:rFonts w:ascii="Times New Roman" w:hAnsi="Times New Roman" w:cs="Times New Roman"/>
          <w:i/>
        </w:rPr>
        <w:t xml:space="preserve"> </w:t>
      </w:r>
      <w:r w:rsidR="001050D5">
        <w:rPr>
          <w:rFonts w:ascii="Times New Roman" w:hAnsi="Times New Roman" w:cs="Times New Roman"/>
          <w:i/>
        </w:rPr>
        <w:t>l</w:t>
      </w:r>
      <w:r w:rsidR="001050D5" w:rsidRPr="001050D5">
        <w:rPr>
          <w:rFonts w:ascii="Times New Roman" w:hAnsi="Times New Roman" w:cs="Times New Roman"/>
          <w:i/>
        </w:rPr>
        <w:t xml:space="preserve">es faibles capacités des titulaires des droits </w:t>
      </w:r>
      <w:r w:rsidR="001050D5" w:rsidRPr="001050D5">
        <w:rPr>
          <w:rFonts w:ascii="Times New Roman" w:hAnsi="Times New Roman" w:cs="Times New Roman"/>
          <w:i/>
        </w:rPr>
        <w:lastRenderedPageBreak/>
        <w:t xml:space="preserve">notamment des personnes et des groupes les plus vulnérables à faire prévaloir leurs droits ; La faible efficacité et la faible qualité des politiques publiques qui répondent pas de façon satisfaisante à la demande sociale ; L’impunité, le manque de transparence et de redevabilité dans la gestion des affaires publiques. </w:t>
      </w:r>
      <w:r w:rsidR="001050D5">
        <w:rPr>
          <w:rFonts w:ascii="Times New Roman" w:hAnsi="Times New Roman" w:cs="Times New Roman"/>
        </w:rPr>
        <w:t xml:space="preserve">  </w:t>
      </w:r>
    </w:p>
    <w:p w14:paraId="0013995C" w14:textId="77777777" w:rsidR="0028280C" w:rsidRPr="00ED6C33" w:rsidRDefault="0028280C" w:rsidP="0028280C">
      <w:pPr>
        <w:jc w:val="both"/>
        <w:rPr>
          <w:rFonts w:ascii="Times New Roman" w:hAnsi="Times New Roman" w:cs="Times New Roman"/>
        </w:rPr>
      </w:pPr>
      <w:r w:rsidRPr="009402E1">
        <w:rPr>
          <w:rFonts w:ascii="Bernard MT Condensed" w:hAnsi="Bernard MT Condensed" w:cs="Times New Roman"/>
          <w:b/>
          <w:i/>
          <w:u w:val="single"/>
        </w:rPr>
        <w:t>Concernant la modernisation du monde rural et le changement climatique</w:t>
      </w:r>
      <w:r>
        <w:rPr>
          <w:rFonts w:ascii="Times New Roman" w:hAnsi="Times New Roman" w:cs="Times New Roman"/>
          <w:i/>
        </w:rPr>
        <w:t xml:space="preserve">, </w:t>
      </w:r>
      <w:r w:rsidRPr="00ED6C33">
        <w:rPr>
          <w:rFonts w:ascii="Times New Roman" w:hAnsi="Times New Roman" w:cs="Times New Roman"/>
        </w:rPr>
        <w:t xml:space="preserve">l’analyse causale a révélé les problèmes centraux et les causes ci-après : </w:t>
      </w:r>
    </w:p>
    <w:p w14:paraId="0AEF07B6" w14:textId="3FCEAAC4" w:rsidR="0028280C" w:rsidRPr="00EC2972" w:rsidRDefault="0028280C" w:rsidP="0028280C">
      <w:pPr>
        <w:pStyle w:val="Corpsdetexte"/>
        <w:shd w:val="clear" w:color="auto" w:fill="FFFFFF" w:themeFill="background1"/>
        <w:rPr>
          <w:i/>
        </w:rPr>
      </w:pPr>
      <w:r w:rsidRPr="009402E1">
        <w:rPr>
          <w:b/>
          <w:i/>
        </w:rPr>
        <w:t>Pour le</w:t>
      </w:r>
      <w:r w:rsidRPr="009402E1">
        <w:rPr>
          <w:b/>
          <w:i/>
          <w:sz w:val="24"/>
          <w:szCs w:val="24"/>
        </w:rPr>
        <w:t xml:space="preserve"> </w:t>
      </w:r>
      <w:r w:rsidRPr="009402E1">
        <w:rPr>
          <w:b/>
          <w:i/>
        </w:rPr>
        <w:t>système alimentaire, sécurité alimentaire, nutritionnelle et résilience</w:t>
      </w:r>
      <w:r>
        <w:t xml:space="preserve"> : </w:t>
      </w:r>
      <w:r w:rsidR="00ED6C33">
        <w:t xml:space="preserve">Le problème majeur est </w:t>
      </w:r>
      <w:r w:rsidRPr="00654F4F">
        <w:rPr>
          <w:b/>
          <w:i/>
          <w:sz w:val="24"/>
          <w:szCs w:val="24"/>
        </w:rPr>
        <w:t>la persistance de l’insécurité alimentaire et nutritionnelle</w:t>
      </w:r>
      <w:r>
        <w:t xml:space="preserve"> due aux principales causes suivantes : </w:t>
      </w:r>
      <w:r w:rsidRPr="00654F4F">
        <w:rPr>
          <w:i/>
        </w:rPr>
        <w:t>(i) l’insuffisance des productions agro-sylvo-pastorale et halieutiques ; (ii) une faible diversité alimentaire ; (iii) un faible accès aux soins, hygiène et assainissement et aux pratiques de l’allaitement maternel et (iv) un faible accès aux produits de première nécessité.</w:t>
      </w:r>
    </w:p>
    <w:p w14:paraId="0F0787D2" w14:textId="04C4F45E" w:rsidR="0028280C" w:rsidRPr="00EC2972" w:rsidRDefault="0028280C" w:rsidP="0028280C">
      <w:pPr>
        <w:pStyle w:val="Corpsdetexte"/>
        <w:shd w:val="clear" w:color="auto" w:fill="FFFFFF" w:themeFill="background1"/>
      </w:pPr>
      <w:r w:rsidRPr="009402E1">
        <w:rPr>
          <w:b/>
          <w:i/>
        </w:rPr>
        <w:t>Dans le domaine de la gestion des risques et des catastrophes</w:t>
      </w:r>
      <w:r>
        <w:t xml:space="preserve"> : </w:t>
      </w:r>
      <w:r w:rsidR="00ED6C33">
        <w:t xml:space="preserve">Le problème majeur est </w:t>
      </w:r>
      <w:r w:rsidR="00ED6C33">
        <w:rPr>
          <w:b/>
          <w:i/>
        </w:rPr>
        <w:t>l</w:t>
      </w:r>
      <w:r w:rsidRPr="00654F4F">
        <w:rPr>
          <w:b/>
          <w:i/>
          <w:sz w:val="24"/>
          <w:szCs w:val="24"/>
        </w:rPr>
        <w:t>a faible résilience des populations face aux risques de catastrophes</w:t>
      </w:r>
      <w:r w:rsidR="00ED6C33">
        <w:t xml:space="preserve"> </w:t>
      </w:r>
      <w:r>
        <w:t xml:space="preserve">due principalement à : </w:t>
      </w:r>
      <w:r w:rsidRPr="00654F4F">
        <w:rPr>
          <w:i/>
        </w:rPr>
        <w:t xml:space="preserve">(i) l’insuffisance dans le domaine de la planification, (ii) la faible </w:t>
      </w:r>
      <w:r w:rsidR="00ED6C33" w:rsidRPr="00654F4F">
        <w:rPr>
          <w:i/>
        </w:rPr>
        <w:t>capacité</w:t>
      </w:r>
      <w:r w:rsidRPr="00654F4F">
        <w:rPr>
          <w:i/>
        </w:rPr>
        <w:t xml:space="preserve"> d’adaptation aux changements climatiques, (iii) la diminution et la dégradation des terres arables et (iv) l’insuffisance des réseaux d’ouvrages et de leur entretien</w:t>
      </w:r>
      <w:r w:rsidRPr="00CF3DE3">
        <w:t>.</w:t>
      </w:r>
    </w:p>
    <w:p w14:paraId="2EF234FD" w14:textId="77777777" w:rsidR="0028280C" w:rsidRPr="00654F4F" w:rsidRDefault="0028280C" w:rsidP="0028280C">
      <w:pPr>
        <w:pStyle w:val="Corpsdetexte"/>
        <w:shd w:val="clear" w:color="auto" w:fill="FFFFFF" w:themeFill="background1"/>
        <w:rPr>
          <w:i/>
        </w:rPr>
      </w:pPr>
      <w:r w:rsidRPr="009402E1">
        <w:rPr>
          <w:b/>
          <w:i/>
        </w:rPr>
        <w:t>Dans le domaine de la gestion des ressources naturelles incluant l’énergie</w:t>
      </w:r>
      <w:r>
        <w:t xml:space="preserve"> : </w:t>
      </w:r>
      <w:r w:rsidRPr="00654F4F">
        <w:rPr>
          <w:b/>
          <w:i/>
          <w:sz w:val="24"/>
          <w:szCs w:val="24"/>
        </w:rPr>
        <w:t>La modification des équilibres écologiques et la dégradation accrue des écosystèmes</w:t>
      </w:r>
      <w:r w:rsidRPr="004B7BFF">
        <w:t xml:space="preserve"> </w:t>
      </w:r>
      <w:r>
        <w:t>qui est imputable aux principales causes suivantes</w:t>
      </w:r>
      <w:r w:rsidRPr="004B7BFF">
        <w:t xml:space="preserve"> : </w:t>
      </w:r>
      <w:r w:rsidRPr="00654F4F">
        <w:rPr>
          <w:i/>
        </w:rPr>
        <w:t xml:space="preserve">(i) la surexploitation des ressources naturelles ; (ii) la mauvaise utilisation des intrants chimiques ; (iii) la récurrence des chocs climatiques (inondation, vent violent, haute températures, sécheresses) ; (iv) le faible taux d’utilisation des énergies de substitution et (v) la récurrence des feux de brousse. </w:t>
      </w:r>
    </w:p>
    <w:p w14:paraId="1CE789F3" w14:textId="429741C6" w:rsidR="0028280C" w:rsidRDefault="0028280C" w:rsidP="0028280C">
      <w:pPr>
        <w:pStyle w:val="Corpsdetexte"/>
        <w:shd w:val="clear" w:color="auto" w:fill="FFFFFF" w:themeFill="background1"/>
        <w:rPr>
          <w:i/>
        </w:rPr>
      </w:pPr>
      <w:r w:rsidRPr="009402E1">
        <w:rPr>
          <w:b/>
          <w:i/>
        </w:rPr>
        <w:t>Dans le domaine du cadre de vie</w:t>
      </w:r>
      <w:r>
        <w:t> :</w:t>
      </w:r>
      <w:r w:rsidR="00ED6C33" w:rsidRPr="00ED6C33">
        <w:t xml:space="preserve"> </w:t>
      </w:r>
      <w:r w:rsidR="00ED6C33">
        <w:t>Le problème majeur est</w:t>
      </w:r>
      <w:r>
        <w:t xml:space="preserve"> </w:t>
      </w:r>
      <w:r w:rsidR="00ED6C33">
        <w:rPr>
          <w:b/>
          <w:i/>
          <w:sz w:val="24"/>
          <w:szCs w:val="24"/>
        </w:rPr>
        <w:t>l</w:t>
      </w:r>
      <w:r w:rsidRPr="00B1645C">
        <w:rPr>
          <w:b/>
          <w:i/>
          <w:sz w:val="24"/>
          <w:szCs w:val="24"/>
        </w:rPr>
        <w:t xml:space="preserve">a faible couverture des besoins en matière de logement et d’urbanisme </w:t>
      </w:r>
      <w:r>
        <w:t xml:space="preserve">dont les principales </w:t>
      </w:r>
      <w:r w:rsidRPr="00B65A27">
        <w:t>causes sont</w:t>
      </w:r>
      <w:r>
        <w:t xml:space="preserve"> : </w:t>
      </w:r>
      <w:r w:rsidRPr="00B1645C">
        <w:rPr>
          <w:i/>
        </w:rPr>
        <w:t>(i) l’insuffisance du contrôle des outils de planification et (ii) l’insuffisance des infrastructures urbaines.</w:t>
      </w:r>
    </w:p>
    <w:p w14:paraId="79A3EDD7" w14:textId="77777777" w:rsidR="0028280C" w:rsidRDefault="0028280C" w:rsidP="0028280C">
      <w:pPr>
        <w:pStyle w:val="Corpsdetexte"/>
        <w:shd w:val="clear" w:color="auto" w:fill="FFFFFF" w:themeFill="background1"/>
      </w:pPr>
      <w:r>
        <w:t>L’analyse causale montre que le Niger a accompli des progrès encourageants vers la réalisation des cibles des ODD. Mais, le pays doit prendre des mesures adéquates pour accélérer les progrès vers l’atteinte des ODD. Il dispose d’énormes atouts pour faire face aux différents problèmes centraux mis en lumière par l’ACP. En effet, il a l’avantage de disposer d’une vision stratégique claire déclinée dans la Stratégie de développement durable et de croissance inclusive (SDDCI) et dans le PDES. Précisément, le Niger a l’ambition d’être</w:t>
      </w:r>
      <w:r w:rsidRPr="009B715E">
        <w:rPr>
          <w:rFonts w:eastAsia="Calibri"/>
          <w:b/>
          <w:i/>
        </w:rPr>
        <w:t xml:space="preserve"> « un pays moderne, paisible, prospère et fier de ses valeurs culturelles dans une Afrique unie et solidaire ».</w:t>
      </w:r>
      <w:r w:rsidRPr="009B715E">
        <w:t xml:space="preserve"> Pour concrétiser cette vision à l’horizon projeté, le Niger vise avant tout </w:t>
      </w:r>
      <w:r>
        <w:t>l’atteinte</w:t>
      </w:r>
      <w:r w:rsidRPr="009B715E">
        <w:t xml:space="preserve"> d’un objectif de développement qui consistera à « </w:t>
      </w:r>
      <w:r w:rsidRPr="009B715E">
        <w:rPr>
          <w:b/>
          <w:i/>
        </w:rPr>
        <w:t>bâtir un pays moderne, démocratique et uni, bien gouverné et pacifique, ouvert au monde, ainsi qu’une économie émergente, fondée sur un partage équilibré des fruits du progrès</w:t>
      </w:r>
      <w:r w:rsidRPr="009B715E">
        <w:t xml:space="preserve"> »</w:t>
      </w:r>
      <w:r>
        <w:t>.</w:t>
      </w:r>
    </w:p>
    <w:p w14:paraId="20E844A6" w14:textId="77777777" w:rsidR="0028280C" w:rsidRDefault="0028280C" w:rsidP="0028280C">
      <w:pPr>
        <w:pStyle w:val="Corpsdetexte"/>
        <w:shd w:val="clear" w:color="auto" w:fill="FFFFFF" w:themeFill="background1"/>
      </w:pPr>
      <w:r>
        <w:t>En outre, le Niger devra aussi valoriser les principaux atouts suivants :</w:t>
      </w:r>
    </w:p>
    <w:p w14:paraId="099E4B61" w14:textId="77777777" w:rsidR="0028280C" w:rsidRPr="004C4DF2" w:rsidRDefault="0028280C" w:rsidP="0028280C">
      <w:pPr>
        <w:pStyle w:val="Paragraphedeliste"/>
        <w:numPr>
          <w:ilvl w:val="0"/>
          <w:numId w:val="2"/>
        </w:numPr>
        <w:jc w:val="both"/>
        <w:rPr>
          <w:rFonts w:ascii="Times New Roman" w:hAnsi="Times New Roman" w:cs="Times New Roman"/>
        </w:rPr>
      </w:pPr>
      <w:r w:rsidRPr="004C4DF2">
        <w:rPr>
          <w:rFonts w:ascii="Times New Roman" w:hAnsi="Times New Roman" w:cs="Times New Roman"/>
        </w:rPr>
        <w:t xml:space="preserve">La stabilité politique et institutionnelle du pays grâce aux avancées réalisées dans le processus de démocratisation et la promotion de l’état de droit ; </w:t>
      </w:r>
    </w:p>
    <w:p w14:paraId="18BE8F20" w14:textId="77777777" w:rsidR="0028280C" w:rsidRPr="004C4DF2" w:rsidRDefault="0028280C" w:rsidP="0028280C">
      <w:pPr>
        <w:pStyle w:val="Paragraphedeliste"/>
        <w:numPr>
          <w:ilvl w:val="0"/>
          <w:numId w:val="2"/>
        </w:numPr>
        <w:jc w:val="both"/>
        <w:rPr>
          <w:rFonts w:ascii="Times New Roman" w:hAnsi="Times New Roman" w:cs="Times New Roman"/>
        </w:rPr>
      </w:pPr>
      <w:r w:rsidRPr="004C4DF2">
        <w:rPr>
          <w:rFonts w:ascii="Times New Roman" w:hAnsi="Times New Roman" w:cs="Times New Roman"/>
        </w:rPr>
        <w:t>La jeunesse de la population qui est un atout majeur pour la capture du dividende démographique ;</w:t>
      </w:r>
    </w:p>
    <w:p w14:paraId="61856BA8" w14:textId="77777777" w:rsidR="0028280C" w:rsidRPr="004C4DF2" w:rsidRDefault="0028280C" w:rsidP="0028280C">
      <w:pPr>
        <w:pStyle w:val="Paragraphedeliste"/>
        <w:numPr>
          <w:ilvl w:val="0"/>
          <w:numId w:val="2"/>
        </w:numPr>
        <w:jc w:val="both"/>
        <w:rPr>
          <w:rFonts w:ascii="Times New Roman" w:hAnsi="Times New Roman" w:cs="Times New Roman"/>
        </w:rPr>
      </w:pPr>
      <w:r w:rsidRPr="004C4DF2">
        <w:rPr>
          <w:rFonts w:ascii="Times New Roman" w:hAnsi="Times New Roman" w:cs="Times New Roman"/>
        </w:rPr>
        <w:t>Les avancées réalisées dans la gestion du développement notamment l’existence d’une stratégie de développement qui a défini une vision stratégique claire</w:t>
      </w:r>
      <w:r>
        <w:rPr>
          <w:rFonts w:ascii="Times New Roman" w:hAnsi="Times New Roman" w:cs="Times New Roman"/>
        </w:rPr>
        <w:t xml:space="preserve"> et pris en compte les ODD,</w:t>
      </w:r>
      <w:r w:rsidRPr="004C4DF2">
        <w:rPr>
          <w:rFonts w:ascii="Times New Roman" w:hAnsi="Times New Roman" w:cs="Times New Roman"/>
        </w:rPr>
        <w:t xml:space="preserve"> et  du PDES qui en est l’outil d’opérationnalisation ainsi que le respect des critères de convergence de l’UEMOA par le pays ;</w:t>
      </w:r>
    </w:p>
    <w:p w14:paraId="567FEC3D" w14:textId="77777777" w:rsidR="0028280C" w:rsidRPr="004C4DF2" w:rsidRDefault="0028280C" w:rsidP="0028280C">
      <w:pPr>
        <w:pStyle w:val="Paragraphedeliste"/>
        <w:numPr>
          <w:ilvl w:val="0"/>
          <w:numId w:val="2"/>
        </w:numPr>
        <w:jc w:val="both"/>
        <w:rPr>
          <w:rFonts w:ascii="Times New Roman" w:hAnsi="Times New Roman" w:cs="Times New Roman"/>
        </w:rPr>
      </w:pPr>
      <w:r w:rsidRPr="004C4DF2">
        <w:rPr>
          <w:rFonts w:ascii="Times New Roman" w:hAnsi="Times New Roman" w:cs="Times New Roman"/>
        </w:rPr>
        <w:t>L’appartenance du Niger aux organisations continentale, régionale et sous-régionale notamment son implication effective dans les programmes sous-régionaux et la ratification du traité instituant la ZLECAF ;</w:t>
      </w:r>
    </w:p>
    <w:p w14:paraId="0496C2B2" w14:textId="77777777" w:rsidR="0028280C" w:rsidRDefault="0028280C" w:rsidP="0028280C">
      <w:pPr>
        <w:pStyle w:val="Paragraphedeliste"/>
        <w:numPr>
          <w:ilvl w:val="0"/>
          <w:numId w:val="2"/>
        </w:numPr>
        <w:jc w:val="both"/>
        <w:rPr>
          <w:rFonts w:ascii="Times New Roman" w:hAnsi="Times New Roman" w:cs="Times New Roman"/>
        </w:rPr>
      </w:pPr>
      <w:r w:rsidRPr="004C4DF2">
        <w:rPr>
          <w:rFonts w:ascii="Times New Roman" w:hAnsi="Times New Roman" w:cs="Times New Roman"/>
        </w:rPr>
        <w:t>Le positionnement géographique stratégique du Niger qui est un carrefour entre l’Afrique du Nord et l’Afrique de l’Ouest ;</w:t>
      </w:r>
    </w:p>
    <w:p w14:paraId="26B7D4AC" w14:textId="77777777" w:rsidR="0028280C" w:rsidRDefault="0028280C" w:rsidP="0028280C">
      <w:pPr>
        <w:pStyle w:val="Paragraphedeliste"/>
        <w:numPr>
          <w:ilvl w:val="0"/>
          <w:numId w:val="2"/>
        </w:numPr>
        <w:jc w:val="both"/>
        <w:rPr>
          <w:rFonts w:ascii="Times New Roman" w:hAnsi="Times New Roman" w:cs="Times New Roman"/>
        </w:rPr>
      </w:pPr>
      <w:r w:rsidRPr="00425B6E">
        <w:rPr>
          <w:rFonts w:ascii="Times New Roman" w:hAnsi="Times New Roman" w:cs="Times New Roman"/>
        </w:rPr>
        <w:lastRenderedPageBreak/>
        <w:t xml:space="preserve">La </w:t>
      </w:r>
      <w:r>
        <w:rPr>
          <w:rFonts w:ascii="Times New Roman" w:hAnsi="Times New Roman" w:cs="Times New Roman"/>
        </w:rPr>
        <w:t>stratégie</w:t>
      </w:r>
      <w:r w:rsidRPr="00425B6E">
        <w:rPr>
          <w:rFonts w:ascii="Times New Roman" w:hAnsi="Times New Roman" w:cs="Times New Roman"/>
        </w:rPr>
        <w:t xml:space="preserve"> intégrée des Nations Unies pour la stabilisation </w:t>
      </w:r>
      <w:r>
        <w:rPr>
          <w:rFonts w:ascii="Times New Roman" w:hAnsi="Times New Roman" w:cs="Times New Roman"/>
        </w:rPr>
        <w:t>dans le sahel ;</w:t>
      </w:r>
    </w:p>
    <w:p w14:paraId="75669230" w14:textId="77777777" w:rsidR="0028280C" w:rsidRPr="00425B6E" w:rsidRDefault="0028280C" w:rsidP="0028280C">
      <w:pPr>
        <w:pStyle w:val="Paragraphedeliste"/>
        <w:numPr>
          <w:ilvl w:val="0"/>
          <w:numId w:val="2"/>
        </w:numPr>
        <w:jc w:val="both"/>
        <w:rPr>
          <w:rFonts w:ascii="Times New Roman" w:hAnsi="Times New Roman" w:cs="Times New Roman"/>
        </w:rPr>
      </w:pPr>
      <w:r w:rsidRPr="00425B6E">
        <w:rPr>
          <w:rFonts w:ascii="Times New Roman" w:hAnsi="Times New Roman" w:cs="Times New Roman"/>
          <w:bCs/>
        </w:rPr>
        <w:t>L’allégement de la dette dans le cadre de l'Initiative de suspension du service de la dette (</w:t>
      </w:r>
      <w:hyperlink r:id="rId8" w:history="1">
        <w:r w:rsidRPr="00425B6E">
          <w:rPr>
            <w:rStyle w:val="Lienhypertexte"/>
            <w:rFonts w:ascii="Times New Roman" w:hAnsi="Times New Roman" w:cs="Times New Roman"/>
            <w:bCs/>
          </w:rPr>
          <w:t>DSSI</w:t>
        </w:r>
      </w:hyperlink>
      <w:r w:rsidRPr="00425B6E">
        <w:rPr>
          <w:rFonts w:ascii="Times New Roman" w:hAnsi="Times New Roman" w:cs="Times New Roman"/>
          <w:bCs/>
        </w:rPr>
        <w:t>) qui épargne le pays du poids du</w:t>
      </w:r>
      <w:r>
        <w:rPr>
          <w:rFonts w:ascii="Times New Roman" w:hAnsi="Times New Roman" w:cs="Times New Roman"/>
          <w:bCs/>
        </w:rPr>
        <w:t xml:space="preserve"> service de la dette avant 2023 ;</w:t>
      </w:r>
    </w:p>
    <w:p w14:paraId="7B03351E" w14:textId="77777777" w:rsidR="0028280C" w:rsidRPr="00425B6E" w:rsidRDefault="0028280C" w:rsidP="0028280C">
      <w:pPr>
        <w:pStyle w:val="Paragraphedeliste"/>
        <w:numPr>
          <w:ilvl w:val="0"/>
          <w:numId w:val="2"/>
        </w:numPr>
        <w:jc w:val="both"/>
        <w:rPr>
          <w:rFonts w:ascii="Times New Roman" w:hAnsi="Times New Roman" w:cs="Times New Roman"/>
        </w:rPr>
      </w:pPr>
      <w:r>
        <w:rPr>
          <w:rFonts w:ascii="Times New Roman" w:hAnsi="Times New Roman" w:cs="Times New Roman"/>
          <w:bCs/>
        </w:rPr>
        <w:t xml:space="preserve">L’exploitation des opportunités offertes </w:t>
      </w:r>
      <w:r w:rsidRPr="00425B6E">
        <w:rPr>
          <w:rFonts w:ascii="Times New Roman" w:hAnsi="Times New Roman" w:cs="Times New Roman"/>
          <w:bCs/>
        </w:rPr>
        <w:t xml:space="preserve">par </w:t>
      </w:r>
      <w:r w:rsidRPr="00425B6E">
        <w:rPr>
          <w:rFonts w:ascii="Times New Roman" w:hAnsi="Times New Roman" w:cs="Times New Roman"/>
        </w:rPr>
        <w:t xml:space="preserve">la Banque européenne d'investissement qui a étendu le champ de ses investissements à l'Afrique subsaharienne depuis 2018, mais dont l’engagement au Niger reste limité à quatre projets ;  </w:t>
      </w:r>
    </w:p>
    <w:p w14:paraId="4519BF80" w14:textId="17096F57" w:rsidR="0028280C" w:rsidRDefault="0028280C" w:rsidP="0028280C">
      <w:pPr>
        <w:pStyle w:val="Paragraphedeliste"/>
        <w:numPr>
          <w:ilvl w:val="0"/>
          <w:numId w:val="2"/>
        </w:numPr>
        <w:jc w:val="both"/>
        <w:rPr>
          <w:rFonts w:ascii="Times New Roman" w:hAnsi="Times New Roman" w:cs="Times New Roman"/>
        </w:rPr>
      </w:pPr>
      <w:r>
        <w:rPr>
          <w:rFonts w:ascii="Times New Roman" w:hAnsi="Times New Roman" w:cs="Times New Roman"/>
        </w:rPr>
        <w:t>Le potentiel en ressources naturelles (Or, uranium, pétrole, etc.). L’exploitation du pétrole et des autres mines qui devraient permettre de relancer la croissance</w:t>
      </w:r>
      <w:r w:rsidR="003C70B2">
        <w:rPr>
          <w:rFonts w:ascii="Times New Roman" w:hAnsi="Times New Roman" w:cs="Times New Roman"/>
        </w:rPr>
        <w:t xml:space="preserve"> et le développement économique et social</w:t>
      </w:r>
      <w:r>
        <w:rPr>
          <w:rFonts w:ascii="Times New Roman" w:hAnsi="Times New Roman" w:cs="Times New Roman"/>
        </w:rPr>
        <w:t> ;</w:t>
      </w:r>
    </w:p>
    <w:p w14:paraId="07D4783B" w14:textId="77777777" w:rsidR="0028280C" w:rsidRPr="004C4DF2" w:rsidRDefault="0028280C" w:rsidP="0028280C">
      <w:pPr>
        <w:pStyle w:val="Paragraphedeliste"/>
        <w:numPr>
          <w:ilvl w:val="0"/>
          <w:numId w:val="2"/>
        </w:numPr>
        <w:jc w:val="both"/>
        <w:rPr>
          <w:rFonts w:ascii="Times New Roman" w:hAnsi="Times New Roman" w:cs="Times New Roman"/>
        </w:rPr>
      </w:pPr>
      <w:r>
        <w:rPr>
          <w:rFonts w:ascii="Times New Roman" w:hAnsi="Times New Roman" w:cs="Times New Roman"/>
        </w:rPr>
        <w:t xml:space="preserve">Le faible impact sanitaire et social de la COVID 19 ;   </w:t>
      </w:r>
    </w:p>
    <w:p w14:paraId="7D152408" w14:textId="60011A7F" w:rsidR="0028280C" w:rsidRDefault="0028280C" w:rsidP="0028280C">
      <w:pPr>
        <w:pStyle w:val="Paragraphedeliste"/>
        <w:numPr>
          <w:ilvl w:val="0"/>
          <w:numId w:val="2"/>
        </w:numPr>
        <w:jc w:val="both"/>
        <w:rPr>
          <w:rFonts w:ascii="Times New Roman" w:hAnsi="Times New Roman" w:cs="Times New Roman"/>
        </w:rPr>
      </w:pPr>
      <w:r w:rsidRPr="004C4DF2">
        <w:rPr>
          <w:rFonts w:ascii="Times New Roman" w:hAnsi="Times New Roman" w:cs="Times New Roman"/>
        </w:rPr>
        <w:t>Les zones agro</w:t>
      </w:r>
      <w:r w:rsidR="003C70B2">
        <w:rPr>
          <w:rFonts w:ascii="Times New Roman" w:hAnsi="Times New Roman" w:cs="Times New Roman"/>
        </w:rPr>
        <w:t>-</w:t>
      </w:r>
      <w:r w:rsidRPr="004C4DF2">
        <w:rPr>
          <w:rFonts w:ascii="Times New Roman" w:hAnsi="Times New Roman" w:cs="Times New Roman"/>
        </w:rPr>
        <w:t>écologiques à haut potentiel pour les productions agro-sylvo-pastorales, la forte diversité biologique naturelle, le potentiel animal et halieutique important et l’existence des filières aux avantages comparatifs réels, ainsi que le potentiel hydrique et solaire</w:t>
      </w:r>
      <w:r>
        <w:rPr>
          <w:rFonts w:ascii="Times New Roman" w:hAnsi="Times New Roman" w:cs="Times New Roman"/>
        </w:rPr>
        <w:t> ;</w:t>
      </w:r>
    </w:p>
    <w:p w14:paraId="2F143461" w14:textId="77777777" w:rsidR="0028280C" w:rsidRDefault="0028280C" w:rsidP="0028280C">
      <w:pPr>
        <w:pStyle w:val="Paragraphedeliste"/>
        <w:numPr>
          <w:ilvl w:val="0"/>
          <w:numId w:val="2"/>
        </w:numPr>
        <w:jc w:val="both"/>
        <w:rPr>
          <w:rFonts w:ascii="Times New Roman" w:hAnsi="Times New Roman" w:cs="Times New Roman"/>
        </w:rPr>
      </w:pPr>
      <w:r>
        <w:rPr>
          <w:rFonts w:ascii="Times New Roman" w:hAnsi="Times New Roman" w:cs="Times New Roman"/>
        </w:rPr>
        <w:t>La forte présence et l’engagement des PTF dans le pays.</w:t>
      </w:r>
    </w:p>
    <w:p w14:paraId="2E638511" w14:textId="2E156C2E" w:rsidR="00DA2244" w:rsidRDefault="00DA2244">
      <w:pPr>
        <w:rPr>
          <w:rFonts w:ascii="Times New Roman" w:hAnsi="Times New Roman" w:cs="Times New Roman"/>
        </w:rPr>
      </w:pPr>
      <w:r>
        <w:br w:type="page"/>
      </w:r>
    </w:p>
    <w:p w14:paraId="42DE6080" w14:textId="77777777" w:rsidR="0028280C" w:rsidRPr="00E25B1F" w:rsidRDefault="0028280C" w:rsidP="00E25B1F">
      <w:pPr>
        <w:pStyle w:val="Titre1"/>
        <w:rPr>
          <w:rFonts w:ascii="Bernard MT Condensed" w:hAnsi="Bernard MT Condensed"/>
          <w:sz w:val="28"/>
          <w:szCs w:val="28"/>
        </w:rPr>
      </w:pPr>
      <w:bookmarkStart w:id="10" w:name="_Toc84789660"/>
      <w:bookmarkStart w:id="11" w:name="_Toc86687706"/>
      <w:bookmarkStart w:id="12" w:name="_Toc89479388"/>
      <w:bookmarkStart w:id="13" w:name="_Toc89480884"/>
      <w:bookmarkStart w:id="14" w:name="_Toc94480127"/>
      <w:bookmarkStart w:id="15" w:name="_Toc94481788"/>
      <w:bookmarkStart w:id="16" w:name="_Toc94482051"/>
      <w:r w:rsidRPr="00E25B1F">
        <w:rPr>
          <w:rFonts w:ascii="Bernard MT Condensed" w:hAnsi="Bernard MT Condensed"/>
          <w:sz w:val="28"/>
          <w:szCs w:val="28"/>
        </w:rPr>
        <w:lastRenderedPageBreak/>
        <w:t>Introduction</w:t>
      </w:r>
      <w:bookmarkEnd w:id="10"/>
      <w:bookmarkEnd w:id="11"/>
      <w:bookmarkEnd w:id="12"/>
      <w:bookmarkEnd w:id="13"/>
      <w:bookmarkEnd w:id="14"/>
      <w:bookmarkEnd w:id="15"/>
      <w:bookmarkEnd w:id="16"/>
      <w:r w:rsidRPr="00E25B1F">
        <w:rPr>
          <w:rFonts w:ascii="Bernard MT Condensed" w:hAnsi="Bernard MT Condensed"/>
          <w:sz w:val="28"/>
          <w:szCs w:val="28"/>
        </w:rPr>
        <w:t xml:space="preserve"> </w:t>
      </w:r>
    </w:p>
    <w:p w14:paraId="6828E44A" w14:textId="77777777" w:rsidR="0028280C" w:rsidRDefault="0028280C" w:rsidP="0028280C">
      <w:pPr>
        <w:pStyle w:val="Titre2"/>
        <w:rPr>
          <w:rFonts w:ascii="Bernard MT Condensed" w:hAnsi="Bernard MT Condensed" w:cstheme="minorHAnsi"/>
          <w:color w:val="auto"/>
          <w:sz w:val="24"/>
          <w:szCs w:val="24"/>
        </w:rPr>
      </w:pPr>
    </w:p>
    <w:p w14:paraId="03CAEA44" w14:textId="77777777" w:rsidR="0028280C" w:rsidRPr="008600B0" w:rsidRDefault="0028280C" w:rsidP="008600B0">
      <w:pPr>
        <w:pStyle w:val="Titre2"/>
        <w:numPr>
          <w:ilvl w:val="0"/>
          <w:numId w:val="34"/>
        </w:numPr>
        <w:rPr>
          <w:rFonts w:ascii="Bernard MT Condensed" w:hAnsi="Bernard MT Condensed"/>
          <w:sz w:val="24"/>
          <w:szCs w:val="24"/>
        </w:rPr>
      </w:pPr>
      <w:bookmarkStart w:id="17" w:name="_Toc84789661"/>
      <w:bookmarkStart w:id="18" w:name="_Toc86687707"/>
      <w:bookmarkStart w:id="19" w:name="_Toc89479389"/>
      <w:bookmarkStart w:id="20" w:name="_Toc89480885"/>
      <w:bookmarkStart w:id="21" w:name="_Toc94480128"/>
      <w:bookmarkStart w:id="22" w:name="_Toc94481789"/>
      <w:bookmarkStart w:id="23" w:name="_Toc94482052"/>
      <w:r w:rsidRPr="008600B0">
        <w:rPr>
          <w:rFonts w:ascii="Bernard MT Condensed" w:hAnsi="Bernard MT Condensed"/>
          <w:sz w:val="24"/>
          <w:szCs w:val="24"/>
        </w:rPr>
        <w:t>Objectifs visés par l’analyse Commune Pays</w:t>
      </w:r>
      <w:bookmarkEnd w:id="17"/>
      <w:bookmarkEnd w:id="18"/>
      <w:bookmarkEnd w:id="19"/>
      <w:bookmarkEnd w:id="20"/>
      <w:bookmarkEnd w:id="21"/>
      <w:bookmarkEnd w:id="22"/>
      <w:bookmarkEnd w:id="23"/>
    </w:p>
    <w:p w14:paraId="1A89DE17" w14:textId="65317FAC" w:rsidR="0028280C" w:rsidRPr="00540828" w:rsidRDefault="0028280C" w:rsidP="0028280C">
      <w:pPr>
        <w:jc w:val="both"/>
        <w:rPr>
          <w:rFonts w:ascii="Times New Roman" w:hAnsi="Times New Roman" w:cs="Times New Roman"/>
        </w:rPr>
      </w:pPr>
      <w:r w:rsidRPr="00540828">
        <w:rPr>
          <w:rFonts w:ascii="Times New Roman" w:hAnsi="Times New Roman" w:cs="Times New Roman"/>
        </w:rPr>
        <w:t>Conformément aux directives des Nations Unies relatives à l’élaboration du Plan cadre des Nations Unies pour le développement durable, l’analyse commune de pays (ACP) a pour objet de procéder à l’examen de la situation politique, écon</w:t>
      </w:r>
      <w:r w:rsidR="003C70B2">
        <w:rPr>
          <w:rFonts w:ascii="Times New Roman" w:hAnsi="Times New Roman" w:cs="Times New Roman"/>
        </w:rPr>
        <w:t xml:space="preserve">omique, sociale, humanitaire, </w:t>
      </w:r>
      <w:r w:rsidRPr="00540828">
        <w:rPr>
          <w:rFonts w:ascii="Times New Roman" w:hAnsi="Times New Roman" w:cs="Times New Roman"/>
        </w:rPr>
        <w:t>environnementale</w:t>
      </w:r>
      <w:r w:rsidR="003C70B2">
        <w:rPr>
          <w:rFonts w:ascii="Times New Roman" w:hAnsi="Times New Roman" w:cs="Times New Roman"/>
        </w:rPr>
        <w:t xml:space="preserve"> et des droits de l’homme</w:t>
      </w:r>
      <w:r w:rsidRPr="00540828">
        <w:rPr>
          <w:rFonts w:ascii="Times New Roman" w:hAnsi="Times New Roman" w:cs="Times New Roman"/>
        </w:rPr>
        <w:t>, et d’apprécier les progrès enregistrés dans la mise en œuvre de l’agenda 2030 notamment les progrès accomplis vers l’atteinte des Objectifs de développement durable (ODD)</w:t>
      </w:r>
      <w:r w:rsidRPr="00563AB1">
        <w:t xml:space="preserve"> </w:t>
      </w:r>
      <w:r w:rsidRPr="00563AB1">
        <w:rPr>
          <w:rFonts w:ascii="Times New Roman" w:hAnsi="Times New Roman" w:cs="Times New Roman"/>
        </w:rPr>
        <w:t xml:space="preserve">(ODD), particulièrement en ce qui concerne </w:t>
      </w:r>
      <w:r>
        <w:rPr>
          <w:rFonts w:ascii="Times New Roman" w:hAnsi="Times New Roman" w:cs="Times New Roman"/>
        </w:rPr>
        <w:t xml:space="preserve">les femmes et les filles et les </w:t>
      </w:r>
      <w:r w:rsidRPr="00563AB1">
        <w:rPr>
          <w:rFonts w:ascii="Times New Roman" w:hAnsi="Times New Roman" w:cs="Times New Roman"/>
        </w:rPr>
        <w:t>groupes les plus vulnérables en application du princip</w:t>
      </w:r>
      <w:r>
        <w:rPr>
          <w:rFonts w:ascii="Times New Roman" w:hAnsi="Times New Roman" w:cs="Times New Roman"/>
        </w:rPr>
        <w:t xml:space="preserve">e </w:t>
      </w:r>
      <w:r w:rsidRPr="00332616">
        <w:rPr>
          <w:rFonts w:ascii="Times New Roman" w:hAnsi="Times New Roman" w:cs="Times New Roman"/>
          <w:b/>
          <w:i/>
        </w:rPr>
        <w:t>« Ne laisser personne de côté </w:t>
      </w:r>
      <w:r>
        <w:rPr>
          <w:rFonts w:ascii="Times New Roman" w:hAnsi="Times New Roman" w:cs="Times New Roman"/>
        </w:rPr>
        <w:t>».</w:t>
      </w:r>
      <w:r w:rsidRPr="00540828">
        <w:rPr>
          <w:rFonts w:ascii="Times New Roman" w:hAnsi="Times New Roman" w:cs="Times New Roman"/>
        </w:rPr>
        <w:t xml:space="preserve"> Précisément, elle s’attache à identifier d’une part les problèmes ou les défis majeurs qui minent la paix et le développement du pays, et à cerner leurs causes immédiates, sous-jacentes et profondes ainsi que leurs conséquences, et d’autre part à mettre en relief les atouts dont dispose le pays et les opportunités qui s’offrent à lui pour assurer leur promotion. </w:t>
      </w:r>
    </w:p>
    <w:p w14:paraId="3619D25A" w14:textId="77777777" w:rsidR="0028280C" w:rsidRPr="005131B9" w:rsidRDefault="0028280C" w:rsidP="0028280C">
      <w:pPr>
        <w:jc w:val="both"/>
        <w:rPr>
          <w:rFonts w:ascii="Times New Roman" w:hAnsi="Times New Roman" w:cs="Times New Roman"/>
          <w:bCs/>
        </w:rPr>
      </w:pPr>
      <w:r w:rsidRPr="005131B9">
        <w:rPr>
          <w:rFonts w:ascii="Times New Roman" w:hAnsi="Times New Roman" w:cs="Times New Roman"/>
        </w:rPr>
        <w:t xml:space="preserve">L’ACP met en lumière la situation des </w:t>
      </w:r>
      <w:r w:rsidRPr="005131B9">
        <w:rPr>
          <w:rFonts w:ascii="Times New Roman" w:eastAsia="Times New Roman" w:hAnsi="Times New Roman" w:cs="Times New Roman"/>
          <w:color w:val="000000"/>
        </w:rPr>
        <w:t>personnes laissées de côté qui subissent de fortes privations pour la jouissance de leurs droits. Elle a</w:t>
      </w:r>
      <w:r w:rsidRPr="005131B9">
        <w:rPr>
          <w:rFonts w:ascii="Times New Roman" w:hAnsi="Times New Roman" w:cs="Times New Roman"/>
          <w:bCs/>
        </w:rPr>
        <w:t>pprécie les avantages comparatifs du Système des Nations Unies (SNU). Elle explore les perspectives politiques, sécuritaires, économiques, sociales et environnementales aux niveaux national</w:t>
      </w:r>
      <w:r>
        <w:rPr>
          <w:rFonts w:ascii="Times New Roman" w:hAnsi="Times New Roman" w:cs="Times New Roman"/>
          <w:bCs/>
        </w:rPr>
        <w:t>es</w:t>
      </w:r>
      <w:r w:rsidRPr="005131B9">
        <w:rPr>
          <w:rFonts w:ascii="Times New Roman" w:hAnsi="Times New Roman" w:cs="Times New Roman"/>
          <w:bCs/>
        </w:rPr>
        <w:t xml:space="preserve">, sous régional et régional. Le but ultime de l’analyse commune de pays est de proposer des axes stratégiques et des lignes d’action pour orienter l’élaboration du PCC (UNSCDF) 2023-2025. L’équipe pays des Nations Unies a organisé en étroite collaboration avec le Gouvernement une formation du personnel des agences et des partenaires nationaux sur la réforme des Nations Unies notamment sur les nouvelles directives relatives à la réalisation de l’analyse commune de pays et l’élaboration du </w:t>
      </w:r>
      <w:r w:rsidRPr="005131B9">
        <w:rPr>
          <w:rFonts w:ascii="Times New Roman" w:hAnsi="Times New Roman" w:cs="Times New Roman"/>
        </w:rPr>
        <w:t>Plan cadre des Nations Unies pour le développement durable</w:t>
      </w:r>
    </w:p>
    <w:p w14:paraId="17A790CD" w14:textId="77777777" w:rsidR="0028280C" w:rsidRPr="008600B0" w:rsidRDefault="0028280C" w:rsidP="008600B0">
      <w:pPr>
        <w:pStyle w:val="Titre2"/>
        <w:numPr>
          <w:ilvl w:val="0"/>
          <w:numId w:val="35"/>
        </w:numPr>
        <w:rPr>
          <w:rFonts w:ascii="Bernard MT Condensed" w:hAnsi="Bernard MT Condensed"/>
          <w:sz w:val="24"/>
          <w:szCs w:val="24"/>
        </w:rPr>
      </w:pPr>
      <w:bookmarkStart w:id="24" w:name="_Toc84789662"/>
      <w:bookmarkStart w:id="25" w:name="_Toc86687708"/>
      <w:bookmarkStart w:id="26" w:name="_Toc89479390"/>
      <w:bookmarkStart w:id="27" w:name="_Toc89480886"/>
      <w:bookmarkStart w:id="28" w:name="_Toc94480129"/>
      <w:bookmarkStart w:id="29" w:name="_Toc94481790"/>
      <w:bookmarkStart w:id="30" w:name="_Toc94482053"/>
      <w:r w:rsidRPr="008600B0">
        <w:rPr>
          <w:rFonts w:ascii="Bernard MT Condensed" w:hAnsi="Bernard MT Condensed"/>
          <w:sz w:val="24"/>
          <w:szCs w:val="24"/>
        </w:rPr>
        <w:t>Approche méthodologique</w:t>
      </w:r>
      <w:bookmarkEnd w:id="24"/>
      <w:bookmarkEnd w:id="25"/>
      <w:bookmarkEnd w:id="26"/>
      <w:bookmarkEnd w:id="27"/>
      <w:bookmarkEnd w:id="28"/>
      <w:bookmarkEnd w:id="29"/>
      <w:bookmarkEnd w:id="30"/>
      <w:r w:rsidRPr="008600B0">
        <w:rPr>
          <w:rFonts w:ascii="Bernard MT Condensed" w:hAnsi="Bernard MT Condensed"/>
          <w:sz w:val="24"/>
          <w:szCs w:val="24"/>
        </w:rPr>
        <w:t xml:space="preserve"> </w:t>
      </w:r>
    </w:p>
    <w:p w14:paraId="126AD49A" w14:textId="77777777" w:rsidR="0028280C" w:rsidRPr="005131B9" w:rsidRDefault="0028280C" w:rsidP="0028280C">
      <w:pPr>
        <w:jc w:val="both"/>
        <w:rPr>
          <w:rFonts w:ascii="Times New Roman" w:hAnsi="Times New Roman" w:cs="Times New Roman"/>
        </w:rPr>
      </w:pPr>
      <w:r w:rsidRPr="005131B9">
        <w:rPr>
          <w:rFonts w:ascii="Times New Roman" w:hAnsi="Times New Roman" w:cs="Times New Roman"/>
        </w:rPr>
        <w:t xml:space="preserve">L’approche méthodologique de l’ACP a été participative et inclusive. Elle a permis l’implication effective de tous les acteurs politiques, économiques, sociaux, religieux, etc. sans distinction de sexe, de statut social, d’appartenance politique, religieuse et ethnique, de régions à l’analyse et la recherche des solutions en vue d’impulser le développement durable du pays. Elle a accordé une attention particulière à la participation des personnes et des groupes les vulnérables ou marginalisés dans les entretiens individuels et les groupes de discussion organisés à Niamey et dans les régions ciblées. Elle s’est basée sur la combinaison des méthodes quantitatives et qualitatives qui ont permis de collecter les données secondaires disponibles à travers la revue documentaire et de recueillir les opinions ou les perceptions des individus ou des groupes d’individus au moyen des entretiens. </w:t>
      </w:r>
    </w:p>
    <w:p w14:paraId="276AE067" w14:textId="3E9FD6BB" w:rsidR="0028280C" w:rsidRDefault="0028280C" w:rsidP="0028280C">
      <w:pPr>
        <w:jc w:val="both"/>
        <w:rPr>
          <w:rFonts w:ascii="Times New Roman" w:hAnsi="Times New Roman" w:cs="Times New Roman"/>
          <w:bCs/>
        </w:rPr>
      </w:pPr>
      <w:r>
        <w:rPr>
          <w:rFonts w:ascii="Times New Roman" w:hAnsi="Times New Roman" w:cs="Times New Roman"/>
        </w:rPr>
        <w:t xml:space="preserve">L’ACP s’est inscrite dans la perspective de l’approche basée sur les droits humains. En effet, le Niger a ratifié la majorité des instruments internationaux, régionaux et sous régionaux des droits de l’homme dont les dispositions sont déclinées dans la législation nationale. L’analyse s’est attachée à apprécier les progrès accomplis dans le respect, la protection et la promotion des droits de l’homme ainsi que  les capacités des détenteurs d’obligations et des titulaires de droits. L’ACP a également été guidée par les principes programmatiques des Nations Unies notamment </w:t>
      </w:r>
      <w:r w:rsidRPr="00852C2A">
        <w:rPr>
          <w:rFonts w:ascii="Times New Roman" w:hAnsi="Times New Roman" w:cs="Times New Roman"/>
          <w:bCs/>
          <w:i/>
        </w:rPr>
        <w:t xml:space="preserve">Ne laisser personne </w:t>
      </w:r>
      <w:r w:rsidR="00265841">
        <w:rPr>
          <w:rFonts w:ascii="Times New Roman" w:hAnsi="Times New Roman" w:cs="Times New Roman"/>
          <w:bCs/>
          <w:i/>
        </w:rPr>
        <w:t>de côté</w:t>
      </w:r>
      <w:r w:rsidRPr="00852C2A">
        <w:rPr>
          <w:rFonts w:ascii="Times New Roman" w:hAnsi="Times New Roman" w:cs="Times New Roman"/>
          <w:bCs/>
          <w:i/>
        </w:rPr>
        <w:t> ; Droits humains, égalité des sexes et autonomisation des femmes ;  Durabilité et résilience ; Responsabilisation (Redevabilité)</w:t>
      </w:r>
      <w:r>
        <w:rPr>
          <w:rFonts w:ascii="Times New Roman" w:hAnsi="Times New Roman" w:cs="Times New Roman"/>
          <w:bCs/>
          <w:i/>
        </w:rPr>
        <w:t xml:space="preserve">. </w:t>
      </w:r>
      <w:r>
        <w:rPr>
          <w:rFonts w:ascii="Times New Roman" w:hAnsi="Times New Roman" w:cs="Times New Roman"/>
          <w:bCs/>
        </w:rPr>
        <w:t>A la faveur de ces principes, l’ACP met en lumière la situation des personnes et des groupes les plus vulnérables, les inégalités ou les discriminations basées sur le genre.</w:t>
      </w:r>
    </w:p>
    <w:p w14:paraId="4A2F9BB2" w14:textId="77777777" w:rsidR="0028280C" w:rsidRDefault="0028280C" w:rsidP="0028280C">
      <w:pPr>
        <w:jc w:val="both"/>
        <w:rPr>
          <w:rFonts w:ascii="Times New Roman" w:hAnsi="Times New Roman" w:cs="Times New Roman"/>
          <w:bCs/>
        </w:rPr>
      </w:pPr>
      <w:r>
        <w:rPr>
          <w:rFonts w:ascii="Times New Roman" w:hAnsi="Times New Roman" w:cs="Times New Roman"/>
          <w:bCs/>
        </w:rPr>
        <w:t>L’ACP s’est déroulé en sept étapes :</w:t>
      </w:r>
    </w:p>
    <w:p w14:paraId="1F74D20F" w14:textId="77777777" w:rsidR="0028280C" w:rsidRPr="00AC72C8" w:rsidRDefault="0028280C" w:rsidP="0028280C">
      <w:pPr>
        <w:pStyle w:val="Paragraphedeliste"/>
        <w:numPr>
          <w:ilvl w:val="0"/>
          <w:numId w:val="25"/>
        </w:numPr>
        <w:jc w:val="both"/>
        <w:rPr>
          <w:rFonts w:ascii="Times New Roman" w:hAnsi="Times New Roman" w:cs="Times New Roman"/>
          <w:bCs/>
        </w:rPr>
      </w:pPr>
      <w:r w:rsidRPr="00AC72C8">
        <w:rPr>
          <w:rFonts w:ascii="Times New Roman" w:hAnsi="Times New Roman" w:cs="Times New Roman"/>
          <w:bCs/>
        </w:rPr>
        <w:t xml:space="preserve">La première étape a porté sur la formation des représentants du gouvernement, de la société civile, du secteur prive ainsi que le personnel des Nations Unies sur les directives de la réforme, la nouvelle approche et les nouveaux outils de programmation ; </w:t>
      </w:r>
    </w:p>
    <w:p w14:paraId="5FAB4D7C" w14:textId="77777777" w:rsidR="0028280C" w:rsidRPr="00AC72C8" w:rsidRDefault="0028280C" w:rsidP="0028280C">
      <w:pPr>
        <w:pStyle w:val="Paragraphedeliste"/>
        <w:numPr>
          <w:ilvl w:val="0"/>
          <w:numId w:val="25"/>
        </w:numPr>
        <w:jc w:val="both"/>
        <w:rPr>
          <w:rFonts w:ascii="Times New Roman" w:hAnsi="Times New Roman" w:cs="Times New Roman"/>
          <w:bCs/>
        </w:rPr>
      </w:pPr>
      <w:r w:rsidRPr="00AC72C8">
        <w:rPr>
          <w:rFonts w:ascii="Times New Roman" w:hAnsi="Times New Roman" w:cs="Times New Roman"/>
          <w:bCs/>
        </w:rPr>
        <w:t xml:space="preserve">La deuxième étape a consisté à mettre en place trois groupes de travail en l’occurrence « groupe gouvernance, paix et sécurité », « groupe capital humain » et « groupe modernisation du monde </w:t>
      </w:r>
      <w:r w:rsidRPr="00AC72C8">
        <w:rPr>
          <w:rFonts w:ascii="Times New Roman" w:hAnsi="Times New Roman" w:cs="Times New Roman"/>
          <w:bCs/>
        </w:rPr>
        <w:lastRenderedPageBreak/>
        <w:t xml:space="preserve">rural » dirigés par les Lead et Co-lead des groupes résultats. A cette étape, il a été aussi examiné et adopté la structure du document de l’ACP en se référant aux directives du DCO ; </w:t>
      </w:r>
    </w:p>
    <w:p w14:paraId="49C86530" w14:textId="77777777" w:rsidR="0028280C" w:rsidRPr="00AC72C8" w:rsidRDefault="0028280C" w:rsidP="0028280C">
      <w:pPr>
        <w:pStyle w:val="Paragraphedeliste"/>
        <w:numPr>
          <w:ilvl w:val="0"/>
          <w:numId w:val="25"/>
        </w:numPr>
        <w:jc w:val="both"/>
        <w:rPr>
          <w:rFonts w:ascii="Times New Roman" w:hAnsi="Times New Roman" w:cs="Times New Roman"/>
          <w:bCs/>
        </w:rPr>
      </w:pPr>
      <w:r w:rsidRPr="00AC72C8">
        <w:rPr>
          <w:rFonts w:ascii="Times New Roman" w:hAnsi="Times New Roman" w:cs="Times New Roman"/>
          <w:bCs/>
        </w:rPr>
        <w:t xml:space="preserve">La troisième étape s’est focalisée sur la collecte et l’analyse documentaire, la conduite des entretiens avec des informateurs clés et la production d’une première version préliminaire de l’ACP ; </w:t>
      </w:r>
    </w:p>
    <w:p w14:paraId="27DEC5CB" w14:textId="77777777" w:rsidR="0028280C" w:rsidRPr="00AC72C8" w:rsidRDefault="0028280C" w:rsidP="0028280C">
      <w:pPr>
        <w:pStyle w:val="Paragraphedeliste"/>
        <w:numPr>
          <w:ilvl w:val="0"/>
          <w:numId w:val="25"/>
        </w:numPr>
        <w:jc w:val="both"/>
        <w:rPr>
          <w:rFonts w:ascii="Times New Roman" w:hAnsi="Times New Roman" w:cs="Times New Roman"/>
          <w:bCs/>
        </w:rPr>
      </w:pPr>
      <w:r w:rsidRPr="00AC72C8">
        <w:rPr>
          <w:rFonts w:ascii="Times New Roman" w:hAnsi="Times New Roman" w:cs="Times New Roman"/>
          <w:bCs/>
        </w:rPr>
        <w:t>La quatrième étape a été consacrée à l’analyse causale des problèmes identifiés à la faveur de l’analyse documentaire ;</w:t>
      </w:r>
    </w:p>
    <w:p w14:paraId="2856D10B" w14:textId="77777777" w:rsidR="0028280C" w:rsidRPr="00AC72C8" w:rsidRDefault="0028280C" w:rsidP="0028280C">
      <w:pPr>
        <w:pStyle w:val="Paragraphedeliste"/>
        <w:numPr>
          <w:ilvl w:val="0"/>
          <w:numId w:val="25"/>
        </w:numPr>
        <w:jc w:val="both"/>
        <w:rPr>
          <w:rFonts w:ascii="Times New Roman" w:hAnsi="Times New Roman" w:cs="Times New Roman"/>
          <w:bCs/>
        </w:rPr>
      </w:pPr>
      <w:r w:rsidRPr="00AC72C8">
        <w:rPr>
          <w:rFonts w:ascii="Times New Roman" w:hAnsi="Times New Roman" w:cs="Times New Roman"/>
          <w:bCs/>
        </w:rPr>
        <w:t xml:space="preserve">La cinquième étape a eu pour objet l’examen et la validation de l’analyse causale par l’équipe pays des Nations ; </w:t>
      </w:r>
    </w:p>
    <w:p w14:paraId="259E53BC" w14:textId="46BD84E9" w:rsidR="0028280C" w:rsidRPr="00AC72C8" w:rsidRDefault="0028280C" w:rsidP="0028280C">
      <w:pPr>
        <w:pStyle w:val="Paragraphedeliste"/>
        <w:numPr>
          <w:ilvl w:val="0"/>
          <w:numId w:val="25"/>
        </w:numPr>
        <w:jc w:val="both"/>
        <w:rPr>
          <w:rFonts w:ascii="Times New Roman" w:hAnsi="Times New Roman" w:cs="Times New Roman"/>
          <w:bCs/>
        </w:rPr>
      </w:pPr>
      <w:r w:rsidRPr="00AC72C8">
        <w:rPr>
          <w:rFonts w:ascii="Times New Roman" w:hAnsi="Times New Roman" w:cs="Times New Roman"/>
          <w:bCs/>
        </w:rPr>
        <w:t>La sixième étape a été marquée par l’organisation des consultations régionales qui ont permis aux acteurs territoriaux de participer au processus de l’ACP</w:t>
      </w:r>
      <w:r w:rsidR="00CE00EF">
        <w:rPr>
          <w:rFonts w:ascii="Times New Roman" w:hAnsi="Times New Roman" w:cs="Times New Roman"/>
          <w:bCs/>
        </w:rPr>
        <w:t>, et les consultations avec les PTF. Ces consultations ont enrichi l’analyse</w:t>
      </w:r>
      <w:r w:rsidRPr="00AC72C8">
        <w:rPr>
          <w:rFonts w:ascii="Times New Roman" w:hAnsi="Times New Roman" w:cs="Times New Roman"/>
          <w:bCs/>
        </w:rPr>
        <w:t xml:space="preserve"> ; </w:t>
      </w:r>
    </w:p>
    <w:p w14:paraId="27DBF377" w14:textId="1A52C743" w:rsidR="00CE00EF" w:rsidRPr="00CE00EF" w:rsidRDefault="0028280C" w:rsidP="00CE00EF">
      <w:pPr>
        <w:pStyle w:val="Paragraphedeliste"/>
        <w:numPr>
          <w:ilvl w:val="0"/>
          <w:numId w:val="25"/>
        </w:numPr>
        <w:jc w:val="both"/>
        <w:rPr>
          <w:rFonts w:ascii="Times New Roman" w:hAnsi="Times New Roman" w:cs="Times New Roman"/>
          <w:bCs/>
        </w:rPr>
      </w:pPr>
      <w:r w:rsidRPr="00CE00EF">
        <w:rPr>
          <w:rFonts w:ascii="Times New Roman" w:hAnsi="Times New Roman" w:cs="Times New Roman"/>
          <w:bCs/>
        </w:rPr>
        <w:t xml:space="preserve">La septième étape s’est concentrée sur la rédaction </w:t>
      </w:r>
      <w:r w:rsidR="00CE00EF" w:rsidRPr="00CE00EF">
        <w:rPr>
          <w:rFonts w:ascii="Times New Roman" w:hAnsi="Times New Roman" w:cs="Times New Roman"/>
          <w:bCs/>
        </w:rPr>
        <w:t xml:space="preserve"> dont la version finale </w:t>
      </w:r>
      <w:r w:rsidR="00CE00EF">
        <w:rPr>
          <w:rFonts w:ascii="Times New Roman" w:hAnsi="Times New Roman" w:cs="Times New Roman"/>
          <w:bCs/>
        </w:rPr>
        <w:t xml:space="preserve">du document de l’ACP </w:t>
      </w:r>
      <w:r w:rsidR="00CE00EF" w:rsidRPr="00CE00EF">
        <w:rPr>
          <w:rFonts w:ascii="Times New Roman" w:hAnsi="Times New Roman" w:cs="Times New Roman"/>
          <w:bCs/>
        </w:rPr>
        <w:t xml:space="preserve">a été approuvée par l’équipe pays des Nations Unies. </w:t>
      </w:r>
    </w:p>
    <w:p w14:paraId="69176D86" w14:textId="3C17E716" w:rsidR="0028280C" w:rsidRPr="00CE00EF" w:rsidRDefault="0028280C" w:rsidP="00CE00EF">
      <w:pPr>
        <w:jc w:val="both"/>
        <w:rPr>
          <w:rFonts w:ascii="Bernard MT Condensed" w:eastAsiaTheme="majorEastAsia" w:hAnsi="Bernard MT Condensed" w:cstheme="minorHAnsi"/>
          <w:sz w:val="24"/>
          <w:szCs w:val="24"/>
        </w:rPr>
      </w:pPr>
      <w:r w:rsidRPr="00CE00EF">
        <w:rPr>
          <w:rFonts w:ascii="Bernard MT Condensed" w:eastAsiaTheme="majorEastAsia" w:hAnsi="Bernard MT Condensed" w:cstheme="minorHAnsi"/>
          <w:sz w:val="24"/>
          <w:szCs w:val="24"/>
        </w:rPr>
        <w:t xml:space="preserve">Structure du document </w:t>
      </w:r>
    </w:p>
    <w:p w14:paraId="42D197DA" w14:textId="77777777" w:rsidR="0028280C" w:rsidRPr="0016528F" w:rsidRDefault="0028280C" w:rsidP="0028280C">
      <w:pPr>
        <w:jc w:val="both"/>
        <w:rPr>
          <w:rFonts w:ascii="Bernard MT Condensed" w:eastAsiaTheme="majorEastAsia" w:hAnsi="Bernard MT Condensed" w:cstheme="minorHAnsi"/>
          <w:sz w:val="24"/>
          <w:szCs w:val="24"/>
        </w:rPr>
      </w:pPr>
      <w:r>
        <w:rPr>
          <w:rFonts w:ascii="Times New Roman" w:hAnsi="Times New Roman" w:cs="Times New Roman"/>
        </w:rPr>
        <w:t>En définitive, l’ACP est structurée essentiellement autour des trois thématiques retenues par l’équipe pays des Nations Unies notamment la gouvernance, paix et sécurité ; le capital humain ; la modernisation du monde rural et le changement climatique. Il comprend sept chapitres :</w:t>
      </w:r>
    </w:p>
    <w:p w14:paraId="7DBB6ECB" w14:textId="77777777" w:rsidR="0028280C" w:rsidRPr="00840B67" w:rsidRDefault="0028280C" w:rsidP="0028280C">
      <w:pPr>
        <w:pStyle w:val="Paragraphedeliste"/>
        <w:numPr>
          <w:ilvl w:val="0"/>
          <w:numId w:val="6"/>
        </w:numPr>
        <w:rPr>
          <w:rFonts w:ascii="Times New Roman" w:hAnsi="Times New Roman" w:cs="Times New Roman"/>
        </w:rPr>
      </w:pPr>
      <w:r w:rsidRPr="00840B67">
        <w:rPr>
          <w:rFonts w:ascii="Times New Roman" w:hAnsi="Times New Roman" w:cs="Times New Roman"/>
        </w:rPr>
        <w:t xml:space="preserve">Le premier chapitre </w:t>
      </w:r>
      <w:r>
        <w:rPr>
          <w:rFonts w:ascii="Times New Roman" w:hAnsi="Times New Roman" w:cs="Times New Roman"/>
        </w:rPr>
        <w:t xml:space="preserve">fait l’état des lieux du </w:t>
      </w:r>
      <w:r w:rsidRPr="00840B67">
        <w:rPr>
          <w:rFonts w:ascii="Times New Roman" w:hAnsi="Times New Roman" w:cs="Times New Roman"/>
        </w:rPr>
        <w:t>contexte national du Niger ;</w:t>
      </w:r>
    </w:p>
    <w:p w14:paraId="1A965177" w14:textId="77777777" w:rsidR="0028280C" w:rsidRPr="00840B67" w:rsidRDefault="0028280C" w:rsidP="0028280C">
      <w:pPr>
        <w:pStyle w:val="Paragraphedeliste"/>
        <w:numPr>
          <w:ilvl w:val="0"/>
          <w:numId w:val="6"/>
        </w:numPr>
        <w:rPr>
          <w:rFonts w:ascii="Times New Roman" w:hAnsi="Times New Roman" w:cs="Times New Roman"/>
        </w:rPr>
      </w:pPr>
      <w:r w:rsidRPr="00840B67">
        <w:rPr>
          <w:rFonts w:ascii="Times New Roman" w:hAnsi="Times New Roman" w:cs="Times New Roman"/>
        </w:rPr>
        <w:t>Le deuxième chapitre expose la vision nationale du développement ;</w:t>
      </w:r>
    </w:p>
    <w:p w14:paraId="13C0157B" w14:textId="77777777" w:rsidR="0028280C" w:rsidRPr="00840B67" w:rsidRDefault="0028280C" w:rsidP="0028280C">
      <w:pPr>
        <w:pStyle w:val="Paragraphedeliste"/>
        <w:numPr>
          <w:ilvl w:val="0"/>
          <w:numId w:val="6"/>
        </w:numPr>
        <w:rPr>
          <w:rFonts w:ascii="Times New Roman" w:hAnsi="Times New Roman" w:cs="Times New Roman"/>
        </w:rPr>
      </w:pPr>
      <w:r w:rsidRPr="00840B67">
        <w:rPr>
          <w:rFonts w:ascii="Times New Roman" w:hAnsi="Times New Roman" w:cs="Times New Roman"/>
        </w:rPr>
        <w:t>Le troisième chapitre examine les progrès accomplis vers l’atteinte des ODD ;</w:t>
      </w:r>
    </w:p>
    <w:p w14:paraId="4B04BB97" w14:textId="77777777" w:rsidR="0028280C" w:rsidRPr="00840B67" w:rsidRDefault="0028280C" w:rsidP="0028280C">
      <w:pPr>
        <w:pStyle w:val="Paragraphedeliste"/>
        <w:numPr>
          <w:ilvl w:val="0"/>
          <w:numId w:val="6"/>
        </w:numPr>
        <w:rPr>
          <w:rFonts w:ascii="Times New Roman" w:hAnsi="Times New Roman" w:cs="Times New Roman"/>
        </w:rPr>
      </w:pPr>
      <w:r w:rsidRPr="00840B67">
        <w:rPr>
          <w:rFonts w:ascii="Times New Roman" w:hAnsi="Times New Roman" w:cs="Times New Roman"/>
        </w:rPr>
        <w:t xml:space="preserve">Le quatrième chapitre s’appesantit sur l’analyse des mécanismes de financement du développement ;  </w:t>
      </w:r>
    </w:p>
    <w:p w14:paraId="0F9D7AA2" w14:textId="77777777" w:rsidR="0028280C" w:rsidRPr="00840B67" w:rsidRDefault="0028280C" w:rsidP="0028280C">
      <w:pPr>
        <w:pStyle w:val="Paragraphedeliste"/>
        <w:numPr>
          <w:ilvl w:val="0"/>
          <w:numId w:val="6"/>
        </w:numPr>
        <w:rPr>
          <w:rFonts w:ascii="Times New Roman" w:hAnsi="Times New Roman" w:cs="Times New Roman"/>
        </w:rPr>
      </w:pPr>
      <w:r w:rsidRPr="00840B67">
        <w:rPr>
          <w:rFonts w:ascii="Times New Roman" w:hAnsi="Times New Roman" w:cs="Times New Roman"/>
        </w:rPr>
        <w:t>Le cinquième chapitre aborde l’analyse des vulnérabilités ;</w:t>
      </w:r>
    </w:p>
    <w:p w14:paraId="2776461C" w14:textId="0019BCA7" w:rsidR="0028280C" w:rsidRPr="00840B67" w:rsidRDefault="0028280C" w:rsidP="0028280C">
      <w:pPr>
        <w:pStyle w:val="Paragraphedeliste"/>
        <w:numPr>
          <w:ilvl w:val="0"/>
          <w:numId w:val="6"/>
        </w:numPr>
        <w:rPr>
          <w:rFonts w:ascii="Times New Roman" w:hAnsi="Times New Roman" w:cs="Times New Roman"/>
        </w:rPr>
      </w:pPr>
      <w:r w:rsidRPr="00840B67">
        <w:rPr>
          <w:rFonts w:ascii="Times New Roman" w:hAnsi="Times New Roman" w:cs="Times New Roman"/>
        </w:rPr>
        <w:t>Le sixième chapitre met en lumière</w:t>
      </w:r>
      <w:r w:rsidR="00CE00EF">
        <w:rPr>
          <w:rFonts w:ascii="Times New Roman" w:hAnsi="Times New Roman" w:cs="Times New Roman"/>
        </w:rPr>
        <w:t xml:space="preserve"> les défis à surmonter pour la</w:t>
      </w:r>
      <w:r w:rsidRPr="00840B67">
        <w:rPr>
          <w:rFonts w:ascii="Times New Roman" w:hAnsi="Times New Roman" w:cs="Times New Roman"/>
        </w:rPr>
        <w:t xml:space="preserve"> réalisation </w:t>
      </w:r>
      <w:r w:rsidR="00CE00EF">
        <w:rPr>
          <w:rFonts w:ascii="Times New Roman" w:hAnsi="Times New Roman" w:cs="Times New Roman"/>
        </w:rPr>
        <w:t xml:space="preserve">des ODD </w:t>
      </w:r>
      <w:r w:rsidRPr="00840B67">
        <w:rPr>
          <w:rFonts w:ascii="Times New Roman" w:hAnsi="Times New Roman" w:cs="Times New Roman"/>
        </w:rPr>
        <w:t>à l’horizon 2030 ;</w:t>
      </w:r>
    </w:p>
    <w:p w14:paraId="7F6C6EEB" w14:textId="2D362488" w:rsidR="0028280C" w:rsidRDefault="0028280C" w:rsidP="0028280C">
      <w:pPr>
        <w:pStyle w:val="Paragraphedeliste"/>
        <w:numPr>
          <w:ilvl w:val="0"/>
          <w:numId w:val="6"/>
        </w:numPr>
        <w:rPr>
          <w:rFonts w:ascii="Times New Roman" w:hAnsi="Times New Roman" w:cs="Times New Roman"/>
        </w:rPr>
      </w:pPr>
      <w:r w:rsidRPr="00840B67">
        <w:rPr>
          <w:rFonts w:ascii="Times New Roman" w:hAnsi="Times New Roman" w:cs="Times New Roman"/>
        </w:rPr>
        <w:t xml:space="preserve">Le septième chapitre explore les perspectives régionales et nationales du Niger. </w:t>
      </w:r>
      <w:bookmarkStart w:id="31" w:name="_Toc84789663"/>
    </w:p>
    <w:p w14:paraId="112434A6" w14:textId="77777777" w:rsidR="00DA2244" w:rsidRPr="00DA2244" w:rsidRDefault="00DA2244" w:rsidP="00DA2244">
      <w:pPr>
        <w:rPr>
          <w:rFonts w:ascii="Times New Roman" w:hAnsi="Times New Roman" w:cs="Times New Roman"/>
        </w:rPr>
      </w:pPr>
    </w:p>
    <w:p w14:paraId="7DE829E6" w14:textId="77777777" w:rsidR="0028280C" w:rsidRPr="00E25B1F" w:rsidRDefault="0028280C" w:rsidP="00E25B1F">
      <w:pPr>
        <w:pStyle w:val="Titre1"/>
        <w:rPr>
          <w:rFonts w:ascii="Bernard MT Condensed" w:hAnsi="Bernard MT Condensed"/>
          <w:sz w:val="28"/>
          <w:szCs w:val="28"/>
        </w:rPr>
      </w:pPr>
      <w:bookmarkStart w:id="32" w:name="_Toc86687709"/>
      <w:bookmarkStart w:id="33" w:name="_Toc89479391"/>
      <w:bookmarkStart w:id="34" w:name="_Toc89480887"/>
      <w:bookmarkStart w:id="35" w:name="_Toc94480130"/>
      <w:bookmarkStart w:id="36" w:name="_Toc94481791"/>
      <w:bookmarkStart w:id="37" w:name="_Toc94482054"/>
      <w:r w:rsidRPr="00E25B1F">
        <w:rPr>
          <w:rFonts w:ascii="Bernard MT Condensed" w:hAnsi="Bernard MT Condensed"/>
          <w:sz w:val="28"/>
          <w:szCs w:val="28"/>
        </w:rPr>
        <w:t>I - Etat des lieux du contexte national</w:t>
      </w:r>
      <w:bookmarkEnd w:id="31"/>
      <w:bookmarkEnd w:id="32"/>
      <w:bookmarkEnd w:id="33"/>
      <w:bookmarkEnd w:id="34"/>
      <w:bookmarkEnd w:id="35"/>
      <w:bookmarkEnd w:id="36"/>
      <w:bookmarkEnd w:id="37"/>
    </w:p>
    <w:p w14:paraId="76670577" w14:textId="77777777" w:rsidR="00CE00EF" w:rsidRPr="00CE00EF" w:rsidRDefault="00CE00EF" w:rsidP="00CE00EF"/>
    <w:p w14:paraId="4E9C588F" w14:textId="77777777" w:rsidR="0028280C" w:rsidRPr="00E25B1F" w:rsidRDefault="0028280C" w:rsidP="00E25B1F">
      <w:pPr>
        <w:pStyle w:val="Titre2"/>
        <w:rPr>
          <w:rFonts w:ascii="Bernard MT Condensed" w:hAnsi="Bernard MT Condensed"/>
          <w:sz w:val="24"/>
          <w:szCs w:val="24"/>
        </w:rPr>
      </w:pPr>
      <w:bookmarkStart w:id="38" w:name="_Toc84789664"/>
      <w:bookmarkStart w:id="39" w:name="_Toc86687710"/>
      <w:bookmarkStart w:id="40" w:name="_Toc89479392"/>
      <w:bookmarkStart w:id="41" w:name="_Toc89480888"/>
      <w:bookmarkStart w:id="42" w:name="_Toc94480131"/>
      <w:bookmarkStart w:id="43" w:name="_Toc94481792"/>
      <w:bookmarkStart w:id="44" w:name="_Toc94482055"/>
      <w:r w:rsidRPr="00E25B1F">
        <w:rPr>
          <w:rFonts w:ascii="Bernard MT Condensed" w:hAnsi="Bernard MT Condensed"/>
          <w:sz w:val="24"/>
          <w:szCs w:val="24"/>
        </w:rPr>
        <w:t>I.1 - Situation géographique et administrative</w:t>
      </w:r>
      <w:bookmarkEnd w:id="38"/>
      <w:bookmarkEnd w:id="39"/>
      <w:bookmarkEnd w:id="40"/>
      <w:bookmarkEnd w:id="41"/>
      <w:bookmarkEnd w:id="42"/>
      <w:bookmarkEnd w:id="43"/>
      <w:bookmarkEnd w:id="44"/>
    </w:p>
    <w:p w14:paraId="5EFE5777" w14:textId="25B75594" w:rsidR="0028280C" w:rsidRDefault="0028280C" w:rsidP="0028280C">
      <w:pPr>
        <w:pStyle w:val="Corpsdetexte"/>
        <w:rPr>
          <w:color w:val="auto"/>
        </w:rPr>
      </w:pPr>
      <w:r w:rsidRPr="00BC55BF">
        <w:rPr>
          <w:color w:val="auto"/>
        </w:rPr>
        <w:t xml:space="preserve">Le Niger est </w:t>
      </w:r>
      <w:r w:rsidRPr="00BC55BF">
        <w:rPr>
          <w:color w:val="auto"/>
          <w:szCs w:val="22"/>
        </w:rPr>
        <w:t xml:space="preserve"> un pays continental</w:t>
      </w:r>
      <w:r w:rsidRPr="00BC55BF">
        <w:rPr>
          <w:color w:val="auto"/>
        </w:rPr>
        <w:t xml:space="preserve"> enclavé situé en Afrique de l’ouest à 700 km du Golfe de Guinée, 1 900 km de la côte Atlantique et 1 200 km de la </w:t>
      </w:r>
      <w:r w:rsidRPr="00BC55BF">
        <w:rPr>
          <w:rFonts w:eastAsiaTheme="minorHAnsi"/>
          <w:bCs/>
          <w:color w:val="auto"/>
        </w:rPr>
        <w:t>Méditerranée</w:t>
      </w:r>
      <w:r>
        <w:rPr>
          <w:color w:val="auto"/>
        </w:rPr>
        <w:t>.</w:t>
      </w:r>
      <w:r w:rsidRPr="00BC55BF">
        <w:rPr>
          <w:color w:val="auto"/>
        </w:rPr>
        <w:t xml:space="preserve"> Il couvre une superficie de 1 267 000 km</w:t>
      </w:r>
      <w:r w:rsidRPr="00BC55BF">
        <w:rPr>
          <w:color w:val="auto"/>
          <w:vertAlign w:val="superscript"/>
        </w:rPr>
        <w:t>2</w:t>
      </w:r>
      <w:r w:rsidRPr="00BC55BF">
        <w:rPr>
          <w:color w:val="auto"/>
        </w:rPr>
        <w:t xml:space="preserve">. Il est limité au Nord par l’Algérie et la Lybie, à l’Est par le Tchad, au Sud par le Nigéria et le Bénin, à l’Ouest par le Burkina Faso et le Mali. Les deux tiers (2/3) du territoire sont désertiques. Le relief est peu contrasté à cause des altitudes comprises généralement entre 200 et 500 mètres, s'élevant progressivement du sud-ouest au nord-est. </w:t>
      </w:r>
      <w:r w:rsidRPr="00BC55BF">
        <w:rPr>
          <w:b/>
          <w:bCs/>
          <w:i/>
          <w:color w:val="auto"/>
        </w:rPr>
        <w:t>Au plan climatique</w:t>
      </w:r>
      <w:r w:rsidRPr="00BC55BF">
        <w:rPr>
          <w:color w:val="auto"/>
        </w:rPr>
        <w:t xml:space="preserve">, le pays fait face à une aridité sans cesse croissante, marquée par une pluviométrie variable (entre 100 mm et plus de 900 mm par an), inégalement répartie dans le temps et dans l’espace. </w:t>
      </w:r>
      <w:r w:rsidR="00CE00EF">
        <w:rPr>
          <w:color w:val="auto"/>
        </w:rPr>
        <w:t>Le pays comprend q</w:t>
      </w:r>
      <w:r w:rsidRPr="00BC55BF">
        <w:rPr>
          <w:color w:val="auto"/>
        </w:rPr>
        <w:t>uatre (4) grandes zones bioclimatiques définies sur la base de la pluviométrie : (i) la zone soudanienne, (ii) la zone sahélo-soudanienne et sahélienne, (iii) la zone sahélo-saharienne et (iv) la zone saharienne désertique, représentant respectivement environ 1%, 10%, 12% et 77% de la superficie totale du territoire.</w:t>
      </w:r>
      <w:r w:rsidRPr="00FA2659">
        <w:rPr>
          <w:b/>
          <w:bCs/>
          <w:i/>
          <w:color w:val="auto"/>
        </w:rPr>
        <w:t xml:space="preserve"> </w:t>
      </w:r>
      <w:r w:rsidRPr="00BC55BF">
        <w:rPr>
          <w:b/>
          <w:bCs/>
          <w:i/>
          <w:color w:val="auto"/>
        </w:rPr>
        <w:t>Au plan hydrographique</w:t>
      </w:r>
      <w:r w:rsidRPr="00BC55BF">
        <w:rPr>
          <w:color w:val="auto"/>
        </w:rPr>
        <w:t>, le réseau est constitué par le bassin du Niger composé du fleuve Niger, de ses affluents et des cours d’eau intérieurs et le bassin du Lac Tchad qui comprend : la Komadougou Yobé, les Koramas et le Lac Tchad. Les eaux de surface représentent 30 milliards de m</w:t>
      </w:r>
      <w:r w:rsidRPr="00BC55BF">
        <w:rPr>
          <w:color w:val="auto"/>
          <w:vertAlign w:val="superscript"/>
        </w:rPr>
        <w:t>3</w:t>
      </w:r>
      <w:r w:rsidRPr="00BC55BF">
        <w:rPr>
          <w:color w:val="auto"/>
        </w:rPr>
        <w:t xml:space="preserve"> par an, avec moins de 1% exploité.</w:t>
      </w:r>
    </w:p>
    <w:p w14:paraId="055ACC36" w14:textId="77777777" w:rsidR="00CE00EF" w:rsidRDefault="00CE00EF" w:rsidP="0028280C">
      <w:pPr>
        <w:pStyle w:val="Corpsdetexte"/>
        <w:rPr>
          <w:color w:val="auto"/>
        </w:rPr>
      </w:pPr>
    </w:p>
    <w:p w14:paraId="0758E500" w14:textId="77777777" w:rsidR="00CE00EF" w:rsidRDefault="00CE00EF" w:rsidP="0028280C">
      <w:pPr>
        <w:pStyle w:val="Corpsdetexte"/>
        <w:rPr>
          <w:color w:val="auto"/>
        </w:rPr>
      </w:pPr>
    </w:p>
    <w:p w14:paraId="5E6E5130" w14:textId="2E78A15A" w:rsidR="0028280C" w:rsidRPr="00BC55BF" w:rsidRDefault="0028280C" w:rsidP="0028280C">
      <w:pPr>
        <w:pStyle w:val="Corpsdetexte"/>
        <w:rPr>
          <w:color w:val="auto"/>
        </w:rPr>
      </w:pPr>
      <w:r>
        <w:rPr>
          <w:color w:val="auto"/>
        </w:rPr>
        <w:t>Le pays est dot</w:t>
      </w:r>
      <w:r w:rsidRPr="00BC55BF">
        <w:rPr>
          <w:color w:val="auto"/>
        </w:rPr>
        <w:t>é</w:t>
      </w:r>
      <w:r>
        <w:rPr>
          <w:color w:val="auto"/>
        </w:rPr>
        <w:t xml:space="preserve"> d’un important potentiel en terres et en ressources naturelles. Mais, le changement climatique a malheureusement des conséquences f</w:t>
      </w:r>
      <w:r w:rsidR="007233CC">
        <w:rPr>
          <w:color w:val="auto"/>
        </w:rPr>
        <w:t>âcheuses sur ce capital naturel.</w:t>
      </w:r>
      <w:r>
        <w:rPr>
          <w:color w:val="auto"/>
        </w:rPr>
        <w:t xml:space="preserve"> En effet, le Niger continue à subir une forte dégradation d</w:t>
      </w:r>
      <w:r w:rsidRPr="00BC55BF">
        <w:rPr>
          <w:color w:val="auto"/>
        </w:rPr>
        <w:t xml:space="preserve">es terres et des ressources naturelles </w:t>
      </w:r>
      <w:r>
        <w:rPr>
          <w:color w:val="auto"/>
        </w:rPr>
        <w:t xml:space="preserve">qui </w:t>
      </w:r>
      <w:r w:rsidRPr="00BC55BF">
        <w:rPr>
          <w:color w:val="auto"/>
        </w:rPr>
        <w:t>a un</w:t>
      </w:r>
      <w:r w:rsidRPr="00FA2659">
        <w:rPr>
          <w:color w:val="auto"/>
        </w:rPr>
        <w:t xml:space="preserve"> </w:t>
      </w:r>
      <w:r w:rsidRPr="00BC55BF">
        <w:rPr>
          <w:color w:val="auto"/>
        </w:rPr>
        <w:t xml:space="preserve">lourd impact sur la sécurité alimentaire, la résilience des systèmes de production, les infrastructures économiques et autres moyens d’existence des ménages. Pour y faire face, le Niger a adopté divers documents d’orientation, dont entre autres, la Politique Nationale en matière d’Environnement et de Développement Durable (PNEDD), le Plan Forestier National (PNF), le Cadre Stratégique de la GDT (CS/GDT) et </w:t>
      </w:r>
      <w:r>
        <w:rPr>
          <w:color w:val="auto"/>
        </w:rPr>
        <w:t>son plan d’investissement 2015 -</w:t>
      </w:r>
      <w:r w:rsidRPr="00BC55BF">
        <w:rPr>
          <w:color w:val="auto"/>
        </w:rPr>
        <w:t xml:space="preserve"> 2029. La lutte contre la dégradation des terres se fait à travers des aménagements forestiers, des récupérations de terres dégradées accompagnées de plantations forestières. En 2017, le Niger comptait 164 830 ha de surfaces forestières sous aménagement et a procédé à la récupération de milliers d’hectares de terres dégradées. D’ici à 2030, le </w:t>
      </w:r>
      <w:r>
        <w:rPr>
          <w:color w:val="auto"/>
        </w:rPr>
        <w:t>pays</w:t>
      </w:r>
      <w:r w:rsidRPr="00BC55BF">
        <w:rPr>
          <w:color w:val="auto"/>
        </w:rPr>
        <w:t xml:space="preserve"> s’est engagé à atteindre la Neutralité Dégradation des Terres (zéro dégradation de terres), à réduire les superficies dégradées de 9% à 5% et augmenter de 17% à 19% la couverture végétale.</w:t>
      </w:r>
    </w:p>
    <w:p w14:paraId="492D79ED" w14:textId="7813ABF9" w:rsidR="0028280C" w:rsidRPr="00CE481A" w:rsidRDefault="0028280C" w:rsidP="0028280C">
      <w:pPr>
        <w:widowControl w:val="0"/>
        <w:pBdr>
          <w:top w:val="nil"/>
          <w:left w:val="nil"/>
          <w:bottom w:val="nil"/>
          <w:right w:val="nil"/>
          <w:between w:val="nil"/>
        </w:pBdr>
        <w:spacing w:line="240" w:lineRule="auto"/>
        <w:jc w:val="both"/>
        <w:rPr>
          <w:rFonts w:ascii="Times New Roman" w:eastAsia="Times New Roman" w:hAnsi="Times New Roman" w:cs="Times New Roman"/>
        </w:rPr>
      </w:pPr>
      <w:r>
        <w:rPr>
          <w:rFonts w:ascii="Times New Roman" w:eastAsia="Times New Roman" w:hAnsi="Times New Roman" w:cs="Times New Roman"/>
          <w:spacing w:val="-2"/>
          <w:szCs w:val="20"/>
          <w:lang w:eastAsia="fr-FR"/>
        </w:rPr>
        <w:t>S’agissant</w:t>
      </w:r>
      <w:r w:rsidRPr="00BC55BF">
        <w:rPr>
          <w:rFonts w:ascii="Times New Roman" w:eastAsia="Times New Roman" w:hAnsi="Times New Roman" w:cs="Times New Roman"/>
          <w:spacing w:val="-2"/>
          <w:szCs w:val="20"/>
          <w:lang w:eastAsia="fr-FR"/>
        </w:rPr>
        <w:t xml:space="preserve"> de la situation administrative, le</w:t>
      </w:r>
      <w:r w:rsidRPr="00BC55BF">
        <w:rPr>
          <w:rFonts w:ascii="Times New Roman" w:eastAsia="Times New Roman" w:hAnsi="Times New Roman" w:cs="Times New Roman"/>
        </w:rPr>
        <w:t xml:space="preserve"> territoire national est divisé en huit régions à savoir Zinder, Tahoua, Maradi, Tillaberi, Dosso, Diffa, Agadez et Niamey (La capitale). Les régions sont subdivisées en départements. Le Niger occupe une position géographique stratégique. Il est un vaste carrefour d’échanges entre l’Afrique du Nord et l’Afrique au sud du Sahara notamment l’Afrique de l’ouest. Il est en même temps un corridor emprunté par de milliers de migrants qui se rendent en Algérie et Lybie. L’immensité du territoire nigérien est aussi un atout majeur pour </w:t>
      </w:r>
      <w:r>
        <w:rPr>
          <w:rFonts w:ascii="Times New Roman" w:eastAsia="Times New Roman" w:hAnsi="Times New Roman" w:cs="Times New Roman"/>
        </w:rPr>
        <w:t xml:space="preserve">le </w:t>
      </w:r>
      <w:r w:rsidRPr="00BC55BF">
        <w:rPr>
          <w:rFonts w:ascii="Times New Roman" w:eastAsia="Times New Roman" w:hAnsi="Times New Roman" w:cs="Times New Roman"/>
        </w:rPr>
        <w:t>pays en raison de la richesse de son sous-sol. Mais, elle expose aussi le pays à des défis majeurs notamment le maillage des services sécuritaires pour assurer la surveillance du territoire, le contrôle et la maitrise des flux migratoires, le déploiement administratif de l’Etat pour répondre à la demande des services publics exprimés par les populations locales qui ne jouissent</w:t>
      </w:r>
      <w:r>
        <w:rPr>
          <w:rFonts w:ascii="Times New Roman" w:eastAsia="Times New Roman" w:hAnsi="Times New Roman" w:cs="Times New Roman"/>
        </w:rPr>
        <w:t xml:space="preserve"> pas</w:t>
      </w:r>
      <w:r w:rsidRPr="00BC55BF">
        <w:rPr>
          <w:rFonts w:ascii="Times New Roman" w:eastAsia="Times New Roman" w:hAnsi="Times New Roman" w:cs="Times New Roman"/>
        </w:rPr>
        <w:t xml:space="preserve"> pleinement de leurs droits fondamentaux garantis par la constitution.</w:t>
      </w:r>
      <w:r>
        <w:rPr>
          <w:rFonts w:ascii="Times New Roman" w:eastAsia="Times New Roman" w:hAnsi="Times New Roman" w:cs="Times New Roman"/>
        </w:rPr>
        <w:t xml:space="preserve"> Par ailleurs, le Niger étant un pays enclavé, pour les transactions commerciales notamment les importations et les exportations des marchandises</w:t>
      </w:r>
      <w:r w:rsidR="00E33802">
        <w:rPr>
          <w:rFonts w:ascii="Times New Roman" w:eastAsia="Times New Roman" w:hAnsi="Times New Roman" w:cs="Times New Roman"/>
        </w:rPr>
        <w:t>,</w:t>
      </w:r>
      <w:r>
        <w:rPr>
          <w:rFonts w:ascii="Times New Roman" w:eastAsia="Times New Roman" w:hAnsi="Times New Roman" w:cs="Times New Roman"/>
        </w:rPr>
        <w:t xml:space="preserve"> il fait face à des coûts de logistique élevés et à la fiabilité de la chaîne logistique par rapport aux pays voisins ayant accès à la mer. </w:t>
      </w:r>
      <w:r w:rsidR="00E33802">
        <w:rPr>
          <w:rFonts w:ascii="Times New Roman" w:eastAsia="Times New Roman" w:hAnsi="Times New Roman" w:cs="Times New Roman"/>
        </w:rPr>
        <w:t>La Banque mondiale signale que l</w:t>
      </w:r>
      <w:r w:rsidRPr="00CE481A">
        <w:rPr>
          <w:rFonts w:ascii="Times New Roman" w:eastAsia="Times New Roman" w:hAnsi="Times New Roman" w:cs="Times New Roman"/>
        </w:rPr>
        <w:t>es marchandises destinée</w:t>
      </w:r>
      <w:r>
        <w:rPr>
          <w:rFonts w:ascii="Times New Roman" w:eastAsia="Times New Roman" w:hAnsi="Times New Roman" w:cs="Times New Roman"/>
        </w:rPr>
        <w:t xml:space="preserve">s aux pays enclavés doivent franchir </w:t>
      </w:r>
      <w:r w:rsidRPr="00CE481A">
        <w:rPr>
          <w:rFonts w:ascii="Times New Roman" w:eastAsia="Times New Roman" w:hAnsi="Times New Roman" w:cs="Times New Roman"/>
        </w:rPr>
        <w:t xml:space="preserve">un minimum de trois étapes </w:t>
      </w:r>
      <w:r>
        <w:rPr>
          <w:rFonts w:ascii="Times New Roman" w:eastAsia="Times New Roman" w:hAnsi="Times New Roman" w:cs="Times New Roman"/>
        </w:rPr>
        <w:t>en termes de</w:t>
      </w:r>
      <w:r w:rsidRPr="00CE481A">
        <w:rPr>
          <w:rFonts w:ascii="Times New Roman" w:eastAsia="Times New Roman" w:hAnsi="Times New Roman" w:cs="Times New Roman"/>
        </w:rPr>
        <w:t xml:space="preserve"> « formalités douanières », contre une seule pour les pays côtiers</w:t>
      </w:r>
      <w:r>
        <w:rPr>
          <w:rFonts w:ascii="Times New Roman" w:eastAsia="Times New Roman" w:hAnsi="Times New Roman" w:cs="Times New Roman"/>
        </w:rPr>
        <w:t xml:space="preserve">. Selon </w:t>
      </w:r>
      <w:r w:rsidRPr="00CE481A">
        <w:rPr>
          <w:rFonts w:ascii="Times New Roman" w:eastAsia="Times New Roman" w:hAnsi="Times New Roman" w:cs="Times New Roman"/>
        </w:rPr>
        <w:t xml:space="preserve">l’indice de connectivité </w:t>
      </w:r>
      <w:r>
        <w:rPr>
          <w:rFonts w:ascii="Times New Roman" w:eastAsia="Times New Roman" w:hAnsi="Times New Roman" w:cs="Times New Roman"/>
        </w:rPr>
        <w:t>ajusté de la CNUCED pour les pays enclavés</w:t>
      </w:r>
      <w:r>
        <w:rPr>
          <w:rStyle w:val="Appelnotedebasdep"/>
          <w:rFonts w:ascii="Times New Roman" w:eastAsia="Times New Roman" w:hAnsi="Times New Roman" w:cs="Times New Roman"/>
        </w:rPr>
        <w:footnoteReference w:id="2"/>
      </w:r>
      <w:r w:rsidRPr="00CE481A">
        <w:rPr>
          <w:rFonts w:ascii="Times New Roman" w:eastAsia="Times New Roman" w:hAnsi="Times New Roman" w:cs="Times New Roman"/>
        </w:rPr>
        <w:t>, le Niger obtient le score de 8/100, ce qui révèle la fragilité de sa situation.</w:t>
      </w:r>
      <w:r w:rsidRPr="00BC55BF">
        <w:rPr>
          <w:rFonts w:ascii="Times New Roman" w:eastAsia="Times New Roman" w:hAnsi="Times New Roman" w:cs="Times New Roman"/>
        </w:rPr>
        <w:t xml:space="preserve"> </w:t>
      </w:r>
      <w:r>
        <w:rPr>
          <w:rFonts w:ascii="Times New Roman" w:eastAsia="Times New Roman" w:hAnsi="Times New Roman" w:cs="Times New Roman"/>
        </w:rPr>
        <w:t xml:space="preserve">    </w:t>
      </w:r>
    </w:p>
    <w:p w14:paraId="70AB4A9E" w14:textId="77777777" w:rsidR="0028280C" w:rsidRPr="00E25B1F" w:rsidRDefault="0028280C" w:rsidP="00E25B1F">
      <w:pPr>
        <w:pStyle w:val="Titre2"/>
        <w:rPr>
          <w:rFonts w:ascii="Bernard MT Condensed" w:hAnsi="Bernard MT Condensed"/>
          <w:sz w:val="24"/>
          <w:szCs w:val="24"/>
        </w:rPr>
      </w:pPr>
      <w:bookmarkStart w:id="45" w:name="_Toc84789665"/>
      <w:bookmarkStart w:id="46" w:name="_Toc86687711"/>
      <w:bookmarkStart w:id="47" w:name="_Toc89479393"/>
      <w:bookmarkStart w:id="48" w:name="_Toc89480889"/>
      <w:bookmarkStart w:id="49" w:name="_Toc94480132"/>
      <w:bookmarkStart w:id="50" w:name="_Toc94481793"/>
      <w:bookmarkStart w:id="51" w:name="_Toc94482056"/>
      <w:r w:rsidRPr="00E25B1F">
        <w:rPr>
          <w:rFonts w:ascii="Bernard MT Condensed" w:hAnsi="Bernard MT Condensed"/>
          <w:sz w:val="24"/>
          <w:szCs w:val="24"/>
        </w:rPr>
        <w:t>I.2 - Situation démographique</w:t>
      </w:r>
      <w:bookmarkEnd w:id="45"/>
      <w:bookmarkEnd w:id="46"/>
      <w:bookmarkEnd w:id="47"/>
      <w:bookmarkEnd w:id="48"/>
      <w:bookmarkEnd w:id="49"/>
      <w:bookmarkEnd w:id="50"/>
      <w:bookmarkEnd w:id="51"/>
    </w:p>
    <w:p w14:paraId="23EAE81C" w14:textId="6EBBF34F" w:rsidR="009B5046" w:rsidRDefault="0028280C" w:rsidP="009B5046">
      <w:pPr>
        <w:pStyle w:val="Corpsdetexte"/>
      </w:pPr>
      <w:r w:rsidRPr="00AF4A02">
        <w:t>En 20</w:t>
      </w:r>
      <w:r>
        <w:t>21</w:t>
      </w:r>
      <w:r w:rsidRPr="00AF4A02">
        <w:t>, la populatio</w:t>
      </w:r>
      <w:r>
        <w:t xml:space="preserve">n du Niger a été estimée à 22 </w:t>
      </w:r>
      <w:r w:rsidRPr="00AF4A02">
        <w:t xml:space="preserve">millions d’habitants environ alors qu’elle n’était que de 3,3 millions d'habitants en 1960. </w:t>
      </w:r>
      <w:r w:rsidR="009462B8">
        <w:t xml:space="preserve">Les femmes en âge de procréer </w:t>
      </w:r>
      <w:r w:rsidR="008B766A">
        <w:t>représentent</w:t>
      </w:r>
      <w:r w:rsidR="009462B8">
        <w:t xml:space="preserve"> </w:t>
      </w:r>
      <w:r w:rsidR="009462B8" w:rsidRPr="00954733">
        <w:rPr>
          <w:rFonts w:ascii="Calibri" w:hAnsi="Calibri" w:cs="Calibri"/>
          <w:spacing w:val="0"/>
          <w:sz w:val="20"/>
          <w:lang w:eastAsia="en-US"/>
        </w:rPr>
        <w:t>21.37</w:t>
      </w:r>
      <w:r w:rsidR="009462B8">
        <w:t xml:space="preserve">% de la population, les enfants de moins </w:t>
      </w:r>
      <w:r w:rsidR="009462B8" w:rsidRPr="007E20B9">
        <w:t>de cinq</w:t>
      </w:r>
      <w:r w:rsidR="009462B8">
        <w:t xml:space="preserve"> </w:t>
      </w:r>
      <w:r w:rsidR="009462B8" w:rsidRPr="007E20B9">
        <w:t xml:space="preserve">(5) ans 19,66%. </w:t>
      </w:r>
      <w:r w:rsidRPr="00AF4A02">
        <w:t xml:space="preserve">La jeunesse représente 49,7% de </w:t>
      </w:r>
      <w:r>
        <w:t>la</w:t>
      </w:r>
      <w:r w:rsidRPr="00AF4A02">
        <w:t xml:space="preserve"> population </w:t>
      </w:r>
      <w:r>
        <w:t xml:space="preserve">nigérienne </w:t>
      </w:r>
      <w:r w:rsidRPr="00AF4A02">
        <w:t>dont le taux de croissance a été de plus de 3% par an en raison du taux de fécondité qui demeure très élevé. En effet</w:t>
      </w:r>
      <w:r w:rsidRPr="009462B8">
        <w:t>,</w:t>
      </w:r>
      <w:r w:rsidR="009B5046" w:rsidRPr="009462B8">
        <w:t xml:space="preserve"> </w:t>
      </w:r>
      <w:r w:rsidR="009B5046" w:rsidRPr="009B5046">
        <w:t>plus des deux tiers (69,2%) de la population nigérienne a moins de 25 ans et près de la moitié (49,5 %) a moins de 15 ans. Ce profil démographique associé à un ratio de dépendance de 109 % en 2021, montre que le Niger est prêt à exploiter son dividende démographique moyennant des investissements ciblés en matière d’éducation, de santé et d’emploi.</w:t>
      </w:r>
      <w:r w:rsidRPr="00AF4A02">
        <w:t xml:space="preserve"> </w:t>
      </w:r>
      <w:r w:rsidR="009B5046" w:rsidRPr="009B5046">
        <w:t>A</w:t>
      </w:r>
      <w:r>
        <w:t xml:space="preserve">vec 7,6% en moyenne </w:t>
      </w:r>
      <w:r w:rsidR="009462B8">
        <w:t xml:space="preserve">(EDSN 2012) </w:t>
      </w:r>
      <w:r>
        <w:t>d’enfants p</w:t>
      </w:r>
      <w:r w:rsidRPr="00AF4A02">
        <w:t xml:space="preserve">ar femme, le taux de fécondité du Niger est le plus élevé au monde. </w:t>
      </w:r>
      <w:r w:rsidR="00DB175A">
        <w:t>Ce taux a connu une baisse considérable en 2021. En effet, l</w:t>
      </w:r>
      <w:r w:rsidR="002E04C5">
        <w:t xml:space="preserve">es résultats provisoires de l’enquête nationale sur la fécondité et la mortalité des enfants (ENAFEME, 2021) annoncent une forte baisse de la </w:t>
      </w:r>
      <w:r w:rsidR="002E04C5" w:rsidRPr="00F9445D">
        <w:t xml:space="preserve">fécondité </w:t>
      </w:r>
      <w:r w:rsidR="002E04C5">
        <w:t xml:space="preserve">en 2021, faisant passer de 7,6 à 6,2 le nombre moyen d’enfants par femme au Niger. </w:t>
      </w:r>
      <w:r w:rsidR="009B5046">
        <w:t>La baisse de la fécondité des adolescentes (filles de 15-19 ans) y a beaucoup contribué. Leur taux de fécondité est passé de 206</w:t>
      </w:r>
      <w:r w:rsidR="009B5046">
        <w:rPr>
          <w:rFonts w:ascii="Calibri" w:hAnsi="Calibri"/>
        </w:rPr>
        <w:t>‰</w:t>
      </w:r>
      <w:r w:rsidR="009B5046">
        <w:t xml:space="preserve"> à 132</w:t>
      </w:r>
      <w:r w:rsidR="009B5046">
        <w:rPr>
          <w:rFonts w:ascii="Calibri" w:hAnsi="Calibri"/>
        </w:rPr>
        <w:t>‰</w:t>
      </w:r>
      <w:r w:rsidR="009B5046">
        <w:t xml:space="preserve"> entre 2012 et 2021, soit une chute de baisse de 36% et une contribution qui passe de 14 à 11% durant la période.</w:t>
      </w:r>
    </w:p>
    <w:p w14:paraId="7C983513" w14:textId="5CBC3BC9" w:rsidR="002E04C5" w:rsidRDefault="002E04C5" w:rsidP="002E04C5">
      <w:pPr>
        <w:pStyle w:val="Corpsdetexte"/>
      </w:pPr>
      <w:r>
        <w:lastRenderedPageBreak/>
        <w:t xml:space="preserve">Cette baisse s’observe dans la quasi-totalité des régions du pays. A l’exception des régions d’Agadez (5,7) et Diffa (6,4), qui disposaient de niveaux de fécondité plus faibles en 2012, toutes les régions enregistrent une baisse spectaculaire de la fécondité en 2021, allant de 0,7 enfant à Maradi à 2,8 enfants à Tillabéri. C’est en milieu rural qu’on observe la plus importante baisse de la fécondité en 2021 ; passant de 8 en 2012 à 6,5 enfants en 2021. En revanche, la baisse est beaucoup plus timide en milieu urbain avec une fécondité qui passe de 5,6 à 5,0 enfants. </w:t>
      </w:r>
    </w:p>
    <w:p w14:paraId="38E119AA" w14:textId="1FC745A3" w:rsidR="002E04C5" w:rsidRPr="00364977" w:rsidRDefault="002E04C5" w:rsidP="00C476AE">
      <w:pPr>
        <w:jc w:val="both"/>
        <w:rPr>
          <w:rFonts w:ascii="Times New Roman" w:eastAsia="Times New Roman" w:hAnsi="Times New Roman" w:cs="Times New Roman"/>
          <w:spacing w:val="-2"/>
          <w:szCs w:val="20"/>
          <w:lang w:eastAsia="fr-FR"/>
        </w:rPr>
      </w:pPr>
      <w:r w:rsidRPr="00C476AE">
        <w:rPr>
          <w:rFonts w:ascii="Times New Roman" w:eastAsia="Times New Roman" w:hAnsi="Times New Roman" w:cs="Times New Roman"/>
          <w:color w:val="000000"/>
          <w:spacing w:val="-2"/>
          <w:szCs w:val="20"/>
          <w:lang w:eastAsia="fr-FR"/>
        </w:rPr>
        <w:t xml:space="preserve">Malgré ces tendances favorables, le recours à la pratique contraceptive reste globalement timide dans le pays. Il ressort des principaux résultats de l'ENAFEME 2021 une légère baisse de l'utilisation de la contraception moderne par rapport à 2012 (12,2% et 10%). La baisse ne concerne cependant que les méthodes de courte durée notamment la pilule qui est passée de 5,6% en 2012 à 3,6% en 2021 et de la méthode de l'allaitement maternel et de </w:t>
      </w:r>
      <w:r w:rsidRPr="00364977">
        <w:rPr>
          <w:rFonts w:ascii="Times New Roman" w:eastAsia="Times New Roman" w:hAnsi="Times New Roman" w:cs="Times New Roman"/>
          <w:spacing w:val="-2"/>
          <w:szCs w:val="20"/>
          <w:lang w:eastAsia="fr-FR"/>
        </w:rPr>
        <w:t xml:space="preserve">l'aménorrhée (MAMA) de 3,9% en 2012 à 0,1% en 2021. Par contre, pour les méthodes de longue durée jugées plus efficaces ont vu leur taux d'utilisation augmenté entre 2012 et 2021, passant de 2,1% à 3,3%. </w:t>
      </w:r>
    </w:p>
    <w:p w14:paraId="07A39961" w14:textId="6FF24D68" w:rsidR="002651AB" w:rsidRDefault="00C476AE" w:rsidP="002651AB">
      <w:pPr>
        <w:pStyle w:val="Corpsdetexte"/>
        <w:rPr>
          <w:color w:val="000000" w:themeColor="text1"/>
        </w:rPr>
      </w:pPr>
      <w:r w:rsidRPr="00364977">
        <w:rPr>
          <w:color w:val="auto"/>
        </w:rPr>
        <w:t xml:space="preserve">Malgré ces résultats </w:t>
      </w:r>
      <w:r w:rsidR="009B5046" w:rsidRPr="00364977">
        <w:rPr>
          <w:color w:val="auto"/>
        </w:rPr>
        <w:t>significatifs</w:t>
      </w:r>
      <w:r w:rsidRPr="00364977">
        <w:rPr>
          <w:color w:val="auto"/>
        </w:rPr>
        <w:t xml:space="preserve">, le rythme de la </w:t>
      </w:r>
      <w:r w:rsidR="0028280C" w:rsidRPr="00364977">
        <w:rPr>
          <w:color w:val="auto"/>
        </w:rPr>
        <w:t xml:space="preserve">croissance démographique du Niger </w:t>
      </w:r>
      <w:r w:rsidRPr="00364977">
        <w:rPr>
          <w:color w:val="auto"/>
        </w:rPr>
        <w:t xml:space="preserve">reste vigoureux </w:t>
      </w:r>
      <w:r w:rsidR="00A17E24" w:rsidRPr="00364977">
        <w:rPr>
          <w:color w:val="auto"/>
        </w:rPr>
        <w:t xml:space="preserve">et demeure </w:t>
      </w:r>
      <w:r w:rsidR="0028280C" w:rsidRPr="00364977">
        <w:rPr>
          <w:color w:val="auto"/>
        </w:rPr>
        <w:t>imputable au taux de fécondité élevé</w:t>
      </w:r>
      <w:r w:rsidR="0028280C" w:rsidRPr="00AF4A02">
        <w:t>, à la jeunesse de la population, aux faibles taux de scolarisation et d’alphabétisation de la population particulièrement des femmes et des filles ainsi qu’aux mariages précoces</w:t>
      </w:r>
      <w:r w:rsidR="0028280C" w:rsidRPr="00563AB1">
        <w:t xml:space="preserve"> </w:t>
      </w:r>
      <w:r w:rsidR="0028280C">
        <w:t xml:space="preserve">qui restent une pratique </w:t>
      </w:r>
      <w:r w:rsidR="009B5046">
        <w:t xml:space="preserve">encore </w:t>
      </w:r>
      <w:r w:rsidR="0028280C">
        <w:t>répandue dans le pays</w:t>
      </w:r>
      <w:r w:rsidR="0028280C" w:rsidRPr="00AF4A02">
        <w:t xml:space="preserve">. </w:t>
      </w:r>
      <w:r w:rsidR="002651AB">
        <w:t>Ce phénomène connaît cependant un recul important, en témoigne les derniers résultats de l’ENAFEME</w:t>
      </w:r>
      <w:r w:rsidR="002651AB">
        <w:rPr>
          <w:color w:val="000000" w:themeColor="text1"/>
        </w:rPr>
        <w:t>.</w:t>
      </w:r>
      <w:r w:rsidR="002651AB" w:rsidRPr="00172736">
        <w:rPr>
          <w:color w:val="000000" w:themeColor="text1"/>
        </w:rPr>
        <w:t xml:space="preserve"> </w:t>
      </w:r>
      <w:r w:rsidR="002651AB">
        <w:rPr>
          <w:color w:val="000000" w:themeColor="text1"/>
        </w:rPr>
        <w:t>L</w:t>
      </w:r>
      <w:r w:rsidR="002651AB" w:rsidRPr="00172736">
        <w:rPr>
          <w:color w:val="000000" w:themeColor="text1"/>
        </w:rPr>
        <w:t xml:space="preserve">a proportion des femmes de 20-24 ans mariées avant 18 ans </w:t>
      </w:r>
      <w:r w:rsidR="002651AB">
        <w:rPr>
          <w:color w:val="000000" w:themeColor="text1"/>
        </w:rPr>
        <w:t xml:space="preserve">est </w:t>
      </w:r>
      <w:r w:rsidR="002651AB" w:rsidRPr="00172736">
        <w:rPr>
          <w:color w:val="000000" w:themeColor="text1"/>
        </w:rPr>
        <w:t>pass</w:t>
      </w:r>
      <w:r w:rsidR="002651AB">
        <w:rPr>
          <w:color w:val="000000" w:themeColor="text1"/>
        </w:rPr>
        <w:t xml:space="preserve">ée </w:t>
      </w:r>
      <w:r w:rsidR="002651AB" w:rsidRPr="00172736">
        <w:rPr>
          <w:color w:val="000000" w:themeColor="text1"/>
        </w:rPr>
        <w:t>de 76% en 2012 à 65% en 2021</w:t>
      </w:r>
      <w:r w:rsidR="002651AB">
        <w:rPr>
          <w:color w:val="000000" w:themeColor="text1"/>
        </w:rPr>
        <w:t>.</w:t>
      </w:r>
    </w:p>
    <w:p w14:paraId="765A8136" w14:textId="5917DE7C" w:rsidR="0028280C" w:rsidRPr="00364977" w:rsidRDefault="002651AB" w:rsidP="0028280C">
      <w:pPr>
        <w:pStyle w:val="Corpsdetexte"/>
        <w:rPr>
          <w:color w:val="auto"/>
        </w:rPr>
      </w:pPr>
      <w:r>
        <w:rPr>
          <w:color w:val="auto"/>
        </w:rPr>
        <w:t>Par ailleurs, l</w:t>
      </w:r>
      <w:r w:rsidRPr="00F3414D">
        <w:rPr>
          <w:color w:val="auto"/>
        </w:rPr>
        <w:t>a forte croissance démographique dans les villes pose de sérieux problèmes sociaux et de cadre de vie, tels que l’accès à un logement décent, la gestion des déchets domestiques solides ou liquides.</w:t>
      </w:r>
      <w:r>
        <w:rPr>
          <w:color w:val="auto"/>
        </w:rPr>
        <w:t xml:space="preserve"> </w:t>
      </w:r>
      <w:r w:rsidR="0021165F">
        <w:rPr>
          <w:color w:val="auto"/>
        </w:rPr>
        <w:t>La majorité des habitants vi</w:t>
      </w:r>
      <w:r w:rsidR="0028280C" w:rsidRPr="00F3414D">
        <w:rPr>
          <w:color w:val="auto"/>
        </w:rPr>
        <w:t xml:space="preserve">t dans les villes du sud du pays, les plus peuplées étant Niamey, Maradi, Zinder et Tahoua. La ville de Niamey concentre à elle seule 40% de la population urbaine. </w:t>
      </w:r>
      <w:r w:rsidR="008B766A" w:rsidRPr="008B766A">
        <w:rPr>
          <w:color w:val="auto"/>
        </w:rPr>
        <w:t>La migration de jeunes dans les villages mais aussi dans les pays voisins de la CEDEAO constitue un facteur explicatif de cette hausse de la population urbaine. On estime que 31% des migrants internationaux au Niger sont âgés moins de 19 ans</w:t>
      </w:r>
      <w:r w:rsidR="008B766A" w:rsidRPr="008B766A">
        <w:rPr>
          <w:rStyle w:val="Appelnotedebasdep"/>
          <w:color w:val="auto"/>
        </w:rPr>
        <w:footnoteReference w:id="3"/>
      </w:r>
      <w:r w:rsidR="008B766A" w:rsidRPr="008B766A">
        <w:rPr>
          <w:color w:val="auto"/>
        </w:rPr>
        <w:t>.</w:t>
      </w:r>
      <w:r w:rsidR="008B766A">
        <w:rPr>
          <w:color w:val="auto"/>
        </w:rPr>
        <w:t xml:space="preserve"> </w:t>
      </w:r>
      <w:r w:rsidRPr="00364977">
        <w:rPr>
          <w:color w:val="auto"/>
        </w:rPr>
        <w:t>On note une diminution de l</w:t>
      </w:r>
      <w:r w:rsidR="0028280C" w:rsidRPr="00364977">
        <w:rPr>
          <w:color w:val="auto"/>
        </w:rPr>
        <w:t xml:space="preserve">a population urbaine vivant dans des taudis, des implantations sauvages ou des logements inadéquats </w:t>
      </w:r>
      <w:r w:rsidRPr="00364977">
        <w:rPr>
          <w:color w:val="auto"/>
        </w:rPr>
        <w:t xml:space="preserve">qui </w:t>
      </w:r>
      <w:r w:rsidR="0028280C" w:rsidRPr="00364977">
        <w:rPr>
          <w:color w:val="auto"/>
        </w:rPr>
        <w:t>est passée de 53,1% en 1992, 28,8% en 2012 à 14,7% en 2017. Toutefois, les investissements réalisés et les mesures prises ces dernières années ont conduit à faire reculer le nombre de personnes vivant dans des logements non adéquats.</w:t>
      </w:r>
    </w:p>
    <w:p w14:paraId="22994B9E" w14:textId="79E451BF" w:rsidR="00ED48AF" w:rsidRDefault="0028280C" w:rsidP="0028280C">
      <w:pPr>
        <w:widowControl w:val="0"/>
        <w:pBdr>
          <w:top w:val="nil"/>
          <w:left w:val="nil"/>
          <w:bottom w:val="nil"/>
          <w:right w:val="nil"/>
          <w:between w:val="nil"/>
        </w:pBdr>
        <w:spacing w:line="240" w:lineRule="auto"/>
        <w:jc w:val="both"/>
        <w:rPr>
          <w:rFonts w:ascii="Times New Roman" w:eastAsia="Times New Roman" w:hAnsi="Times New Roman" w:cs="Times New Roman"/>
        </w:rPr>
      </w:pPr>
      <w:r w:rsidRPr="00364977">
        <w:rPr>
          <w:rFonts w:ascii="Times New Roman" w:eastAsia="Times New Roman" w:hAnsi="Times New Roman" w:cs="Times New Roman"/>
        </w:rPr>
        <w:t xml:space="preserve">Une des conséquences </w:t>
      </w:r>
      <w:sdt>
        <w:sdtPr>
          <w:tag w:val="goog_rdk_10"/>
          <w:id w:val="-895348694"/>
        </w:sdtPr>
        <w:sdtContent>
          <w:r w:rsidRPr="00364977">
            <w:rPr>
              <w:rFonts w:ascii="Times New Roman" w:eastAsia="Times New Roman" w:hAnsi="Times New Roman" w:cs="Times New Roman"/>
            </w:rPr>
            <w:t>la</w:t>
          </w:r>
        </w:sdtContent>
      </w:sdt>
      <w:r w:rsidRPr="00364977">
        <w:rPr>
          <w:rFonts w:ascii="Times New Roman" w:eastAsia="Times New Roman" w:hAnsi="Times New Roman" w:cs="Times New Roman"/>
        </w:rPr>
        <w:t xml:space="preserve"> plus grave </w:t>
      </w:r>
      <w:sdt>
        <w:sdtPr>
          <w:tag w:val="goog_rdk_13"/>
          <w:id w:val="-1897429675"/>
        </w:sdtPr>
        <w:sdtContent>
          <w:r w:rsidRPr="00364977">
            <w:rPr>
              <w:rFonts w:ascii="Times New Roman" w:eastAsia="Times New Roman" w:hAnsi="Times New Roman" w:cs="Times New Roman"/>
            </w:rPr>
            <w:t xml:space="preserve">engendrée par </w:t>
          </w:r>
        </w:sdtContent>
      </w:sdt>
      <w:r w:rsidRPr="00364977">
        <w:rPr>
          <w:rFonts w:ascii="Times New Roman" w:eastAsia="Times New Roman" w:hAnsi="Times New Roman" w:cs="Times New Roman"/>
        </w:rPr>
        <w:t xml:space="preserve">la forte croissance démographique est l’arrivée massive des jeunes sur le marché de </w:t>
      </w:r>
      <w:r>
        <w:rPr>
          <w:rFonts w:ascii="Times New Roman" w:eastAsia="Times New Roman" w:hAnsi="Times New Roman" w:cs="Times New Roman"/>
        </w:rPr>
        <w:t>l’emploi.</w:t>
      </w:r>
      <w:sdt>
        <w:sdtPr>
          <w:tag w:val="goog_rdk_16"/>
          <w:id w:val="-1854404982"/>
        </w:sdtPr>
        <w:sdtContent>
          <w:r>
            <w:t xml:space="preserve"> </w:t>
          </w:r>
        </w:sdtContent>
      </w:sdt>
      <w:r w:rsidRPr="00AF4A02">
        <w:rPr>
          <w:rFonts w:ascii="Times New Roman" w:eastAsia="Times New Roman" w:hAnsi="Times New Roman" w:cs="Times New Roman"/>
        </w:rPr>
        <w:t xml:space="preserve">Même si l’occupation par l’activité rurale est quasi générale, le chômage touche </w:t>
      </w:r>
      <w:sdt>
        <w:sdtPr>
          <w:tag w:val="goog_rdk_19"/>
          <w:id w:val="-424423915"/>
        </w:sdtPr>
        <w:sdtContent>
          <w:r w:rsidRPr="00AF4A02">
            <w:rPr>
              <w:rFonts w:ascii="Times New Roman" w:eastAsia="Times New Roman" w:hAnsi="Times New Roman" w:cs="Times New Roman"/>
            </w:rPr>
            <w:t>une partie non négligeable de la population active (</w:t>
          </w:r>
        </w:sdtContent>
      </w:sdt>
      <w:r w:rsidRPr="00AF4A02">
        <w:rPr>
          <w:rFonts w:ascii="Times New Roman" w:eastAsia="Times New Roman" w:hAnsi="Times New Roman" w:cs="Times New Roman"/>
        </w:rPr>
        <w:t>13% en 2011 et 17% en 2014</w:t>
      </w:r>
      <w:sdt>
        <w:sdtPr>
          <w:tag w:val="goog_rdk_21"/>
          <w:id w:val="1362394003"/>
        </w:sdtPr>
        <w:sdtContent>
          <w:r w:rsidRPr="00AF4A02">
            <w:rPr>
              <w:rFonts w:ascii="Times New Roman" w:eastAsia="Times New Roman" w:hAnsi="Times New Roman" w:cs="Times New Roman"/>
            </w:rPr>
            <w:t>, selon</w:t>
          </w:r>
        </w:sdtContent>
      </w:sdt>
      <w:r w:rsidRPr="00AF4A02">
        <w:rPr>
          <w:rFonts w:ascii="Times New Roman" w:eastAsia="Times New Roman" w:hAnsi="Times New Roman" w:cs="Times New Roman"/>
        </w:rPr>
        <w:t xml:space="preserve"> </w:t>
      </w:r>
      <w:sdt>
        <w:sdtPr>
          <w:tag w:val="goog_rdk_22"/>
          <w:id w:val="238060604"/>
        </w:sdtPr>
        <w:sdtContent>
          <w:r w:rsidRPr="00AF4A02">
            <w:rPr>
              <w:rFonts w:ascii="Times New Roman" w:eastAsia="Times New Roman" w:hAnsi="Times New Roman" w:cs="Times New Roman"/>
            </w:rPr>
            <w:t>l’</w:t>
          </w:r>
        </w:sdtContent>
      </w:sdt>
      <w:r w:rsidRPr="00AF4A02">
        <w:rPr>
          <w:rFonts w:ascii="Times New Roman" w:eastAsia="Times New Roman" w:hAnsi="Times New Roman" w:cs="Times New Roman"/>
        </w:rPr>
        <w:t>ENISED, 2016). Le taux combiné du sous-emploi lié au temps de travail et du chômage atteint ces dernières années pratiquement le tiers de la population active (29,8% dont 27,2% chez les hommes contre 35,7% chez les femmes ; ERI/ESI, 2019). Selon les normes de l’OIT, les accroissements des effectifs de nouveaux demandeurs d’emplois sont importants</w:t>
      </w:r>
      <w:sdt>
        <w:sdtPr>
          <w:tag w:val="goog_rdk_25"/>
          <w:id w:val="1745767699"/>
        </w:sdtPr>
        <w:sdtContent>
          <w:r w:rsidRPr="00AF4A02">
            <w:rPr>
              <w:rFonts w:ascii="Times New Roman" w:eastAsia="Times New Roman" w:hAnsi="Times New Roman" w:cs="Times New Roman"/>
            </w:rPr>
            <w:t>,</w:t>
          </w:r>
        </w:sdtContent>
      </w:sdt>
      <w:r w:rsidRPr="00AF4A02">
        <w:rPr>
          <w:rFonts w:ascii="Times New Roman" w:eastAsia="Times New Roman" w:hAnsi="Times New Roman" w:cs="Times New Roman"/>
        </w:rPr>
        <w:t xml:space="preserve"> pass</w:t>
      </w:r>
      <w:sdt>
        <w:sdtPr>
          <w:tag w:val="goog_rdk_27"/>
          <w:id w:val="442968509"/>
        </w:sdtPr>
        <w:sdtContent>
          <w:r w:rsidRPr="00AF4A02">
            <w:rPr>
              <w:rFonts w:ascii="Times New Roman" w:eastAsia="Times New Roman" w:hAnsi="Times New Roman" w:cs="Times New Roman"/>
            </w:rPr>
            <w:t>a</w:t>
          </w:r>
        </w:sdtContent>
      </w:sdt>
      <w:r w:rsidRPr="00AF4A02">
        <w:rPr>
          <w:rFonts w:ascii="Times New Roman" w:eastAsia="Times New Roman" w:hAnsi="Times New Roman" w:cs="Times New Roman"/>
        </w:rPr>
        <w:t xml:space="preserve">nt de 66 mille en 1977, 94 mille en 1988, 221 mille en 2001, 520 mille en 2012 et à plus d’un million en 2020.  </w:t>
      </w:r>
      <w:r>
        <w:rPr>
          <w:rFonts w:ascii="Times New Roman" w:eastAsia="Times New Roman" w:hAnsi="Times New Roman" w:cs="Times New Roman"/>
        </w:rPr>
        <w:t>Parmi les</w:t>
      </w:r>
      <w:r w:rsidRPr="00AF4A02">
        <w:rPr>
          <w:rFonts w:ascii="Times New Roman" w:eastAsia="Times New Roman" w:hAnsi="Times New Roman" w:cs="Times New Roman"/>
        </w:rPr>
        <w:t xml:space="preserve"> chômeurs, on compte près de 7 jeunes de 15-24 ans sur dix (69% dont 56,4% d’hommes et 78% de femmes) (ERI/ESI, 2019). Il s’agit dans la plupart des cas de jeunes en situation de vulnérabilité, appartenant à des groupes à risques qui méritent une attention particulière.</w:t>
      </w:r>
    </w:p>
    <w:p w14:paraId="6F1D7C70" w14:textId="77777777" w:rsidR="0028280C" w:rsidRDefault="0028280C" w:rsidP="0028280C">
      <w:pPr>
        <w:widowControl w:val="0"/>
        <w:pBdr>
          <w:top w:val="nil"/>
          <w:left w:val="nil"/>
          <w:bottom w:val="nil"/>
          <w:right w:val="nil"/>
          <w:between w:val="nil"/>
        </w:pBdr>
        <w:spacing w:line="240" w:lineRule="auto"/>
        <w:jc w:val="both"/>
        <w:rPr>
          <w:rFonts w:ascii="Times New Roman" w:eastAsia="Times New Roman" w:hAnsi="Times New Roman" w:cs="Times New Roman"/>
        </w:rPr>
      </w:pPr>
      <w:r>
        <w:rPr>
          <w:rFonts w:ascii="Times New Roman" w:eastAsia="Times New Roman" w:hAnsi="Times New Roman" w:cs="Times New Roman"/>
        </w:rPr>
        <w:t>En dépit des conséquences économiques et sociales imputables à la croissance démographique élevée, selon le Fonds monétaire international (FMI)</w:t>
      </w:r>
      <w:r>
        <w:rPr>
          <w:rStyle w:val="Appelnotedebasdep"/>
          <w:rFonts w:ascii="Times New Roman" w:eastAsia="Times New Roman" w:hAnsi="Times New Roman" w:cs="Times New Roman"/>
        </w:rPr>
        <w:footnoteReference w:id="4"/>
      </w:r>
      <w:r>
        <w:rPr>
          <w:rFonts w:ascii="Times New Roman" w:eastAsia="Times New Roman" w:hAnsi="Times New Roman" w:cs="Times New Roman"/>
        </w:rPr>
        <w:t>, « </w:t>
      </w:r>
      <w:r w:rsidRPr="00BA29DA">
        <w:rPr>
          <w:rFonts w:ascii="Times New Roman" w:eastAsia="Times New Roman" w:hAnsi="Times New Roman" w:cs="Times New Roman"/>
          <w:i/>
        </w:rPr>
        <w:t>le Niger est au début de sa transition démographique et les tendances observées de l'analyse de l'évolution de sa population font ressortir que ces tendances démographiques vont permettre à la « fenêtre » du dividende démographique de s'ouvrir au Niger, mais très lentement, après 2020, pour se maintenir éventuellement au-delà de 2100</w:t>
      </w:r>
      <w:r w:rsidRPr="00F7695B">
        <w:rPr>
          <w:rFonts w:ascii="Times New Roman" w:eastAsia="Times New Roman" w:hAnsi="Times New Roman" w:cs="Times New Roman"/>
        </w:rPr>
        <w:t xml:space="preserve"> ». Pour capturer le dividende démographique, </w:t>
      </w:r>
      <w:r>
        <w:rPr>
          <w:rFonts w:ascii="Times New Roman" w:eastAsia="Times New Roman" w:hAnsi="Times New Roman" w:cs="Times New Roman"/>
        </w:rPr>
        <w:t xml:space="preserve">le FMI recommande </w:t>
      </w:r>
      <w:r w:rsidRPr="00F7695B">
        <w:rPr>
          <w:rFonts w:ascii="Times New Roman" w:eastAsia="Times New Roman" w:hAnsi="Times New Roman" w:cs="Times New Roman"/>
        </w:rPr>
        <w:t>«</w:t>
      </w:r>
      <w:r w:rsidRPr="00F7695B">
        <w:rPr>
          <w:rFonts w:ascii="Times New Roman" w:eastAsia="Times New Roman" w:hAnsi="Times New Roman" w:cs="Times New Roman"/>
          <w:i/>
        </w:rPr>
        <w:t xml:space="preserve"> aux autorités de veiller à maintenir la stabilité macroéconomique afin, par exemple, de jeter les bases d'un environnement propice au développement du secteur privé</w:t>
      </w:r>
      <w:r w:rsidRPr="00F7695B">
        <w:rPr>
          <w:rFonts w:ascii="Times New Roman" w:eastAsia="Times New Roman" w:hAnsi="Times New Roman" w:cs="Times New Roman"/>
        </w:rPr>
        <w:t>.</w:t>
      </w:r>
      <w:r>
        <w:rPr>
          <w:rFonts w:ascii="Times New Roman" w:eastAsia="Times New Roman" w:hAnsi="Times New Roman" w:cs="Times New Roman"/>
        </w:rPr>
        <w:t xml:space="preserve"> </w:t>
      </w:r>
      <w:r w:rsidRPr="00F7695B">
        <w:rPr>
          <w:rFonts w:ascii="Times New Roman" w:eastAsia="Times New Roman" w:hAnsi="Times New Roman" w:cs="Times New Roman"/>
          <w:i/>
        </w:rPr>
        <w:t xml:space="preserve">En mettant en place des politiques publiques permettant de maintenir le cap vers le </w:t>
      </w:r>
      <w:r w:rsidRPr="00F7695B">
        <w:rPr>
          <w:rFonts w:ascii="Times New Roman" w:eastAsia="Times New Roman" w:hAnsi="Times New Roman" w:cs="Times New Roman"/>
          <w:i/>
        </w:rPr>
        <w:lastRenderedPageBreak/>
        <w:t>dividende démographique, les autorités doivent aussi assurer la résilience aux chocs exogènes, créer une marge de manœuvre budgétaire nécessaire pour investir dans l'éducation, les services de santé, et construire des infrastructures destinées à accompagner le développement du secteur privé</w:t>
      </w:r>
      <w:r>
        <w:rPr>
          <w:rFonts w:ascii="Times New Roman" w:eastAsia="Times New Roman" w:hAnsi="Times New Roman" w:cs="Times New Roman"/>
        </w:rPr>
        <w:t>.</w:t>
      </w:r>
      <w:bookmarkStart w:id="52" w:name="_Toc84789666"/>
      <w:bookmarkStart w:id="53" w:name="_Toc86687712"/>
    </w:p>
    <w:p w14:paraId="593BB4AB" w14:textId="77777777" w:rsidR="0028280C" w:rsidRPr="00E25B1F" w:rsidRDefault="0028280C" w:rsidP="00E25B1F">
      <w:pPr>
        <w:pStyle w:val="Titre2"/>
        <w:rPr>
          <w:rFonts w:ascii="Bernard MT Condensed" w:hAnsi="Bernard MT Condensed"/>
          <w:sz w:val="24"/>
          <w:szCs w:val="24"/>
        </w:rPr>
      </w:pPr>
      <w:bookmarkStart w:id="54" w:name="_Toc89480890"/>
      <w:bookmarkStart w:id="55" w:name="_Toc94480133"/>
      <w:bookmarkStart w:id="56" w:name="_Toc94481794"/>
      <w:bookmarkStart w:id="57" w:name="_Toc94482057"/>
      <w:r w:rsidRPr="00E25B1F">
        <w:rPr>
          <w:rFonts w:ascii="Bernard MT Condensed" w:hAnsi="Bernard MT Condensed"/>
          <w:sz w:val="24"/>
          <w:szCs w:val="24"/>
        </w:rPr>
        <w:t>I.3 - Etat des lieux de la gouvernance</w:t>
      </w:r>
      <w:bookmarkEnd w:id="52"/>
      <w:r w:rsidRPr="00E25B1F">
        <w:rPr>
          <w:rFonts w:ascii="Bernard MT Condensed" w:hAnsi="Bernard MT Condensed"/>
          <w:sz w:val="24"/>
          <w:szCs w:val="24"/>
        </w:rPr>
        <w:t>, la paix, la sécurité, des migrations</w:t>
      </w:r>
      <w:bookmarkEnd w:id="53"/>
      <w:r w:rsidRPr="00E25B1F">
        <w:rPr>
          <w:rFonts w:ascii="Bernard MT Condensed" w:hAnsi="Bernard MT Condensed"/>
          <w:sz w:val="24"/>
          <w:szCs w:val="24"/>
        </w:rPr>
        <w:t xml:space="preserve"> et de l’asile</w:t>
      </w:r>
      <w:bookmarkEnd w:id="54"/>
      <w:bookmarkEnd w:id="55"/>
      <w:bookmarkEnd w:id="56"/>
      <w:bookmarkEnd w:id="57"/>
      <w:r w:rsidRPr="00E25B1F">
        <w:rPr>
          <w:rFonts w:ascii="Bernard MT Condensed" w:hAnsi="Bernard MT Condensed"/>
          <w:sz w:val="24"/>
          <w:szCs w:val="24"/>
        </w:rPr>
        <w:t xml:space="preserve"> </w:t>
      </w:r>
      <w:bookmarkStart w:id="58" w:name="_Toc86687713"/>
    </w:p>
    <w:p w14:paraId="23A6E4F0" w14:textId="77777777" w:rsidR="00B40343" w:rsidRDefault="0028280C" w:rsidP="00B40343">
      <w:pPr>
        <w:widowControl w:val="0"/>
        <w:pBdr>
          <w:top w:val="nil"/>
          <w:left w:val="nil"/>
          <w:bottom w:val="nil"/>
          <w:right w:val="nil"/>
          <w:between w:val="nil"/>
        </w:pBdr>
        <w:spacing w:line="24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L’état des lieux </w:t>
      </w:r>
      <w:r w:rsidR="004E422D">
        <w:rPr>
          <w:rFonts w:ascii="Times New Roman" w:hAnsi="Times New Roman" w:cs="Times New Roman"/>
          <w:color w:val="000000" w:themeColor="text1"/>
        </w:rPr>
        <w:t xml:space="preserve">de la gouvernance, la paix, la sécurité, des migrations et de l’asile </w:t>
      </w:r>
      <w:r>
        <w:rPr>
          <w:rFonts w:ascii="Times New Roman" w:hAnsi="Times New Roman" w:cs="Times New Roman"/>
          <w:color w:val="000000" w:themeColor="text1"/>
        </w:rPr>
        <w:t>s’appesantit sur l’analyse des différents domaines de la gouvernance ciblée par l’équipe des Nations Unies notamment la gouvernance politique, la gouvernance sécuritaire, la gouvernance migratoire</w:t>
      </w:r>
      <w:r w:rsidR="004E422D">
        <w:rPr>
          <w:rFonts w:ascii="Times New Roman" w:hAnsi="Times New Roman" w:cs="Times New Roman"/>
          <w:color w:val="000000" w:themeColor="text1"/>
        </w:rPr>
        <w:t xml:space="preserve"> et de l’asile</w:t>
      </w:r>
      <w:r>
        <w:rPr>
          <w:rFonts w:ascii="Times New Roman" w:hAnsi="Times New Roman" w:cs="Times New Roman"/>
          <w:color w:val="000000" w:themeColor="text1"/>
        </w:rPr>
        <w:t xml:space="preserve">, la gouvernance judiciaire et juridique, la gouvernance administrative et locale et la gouvernance économique. Il s’attache à élucider les problèmes </w:t>
      </w:r>
      <w:r w:rsidR="004E422D">
        <w:rPr>
          <w:rFonts w:ascii="Times New Roman" w:hAnsi="Times New Roman" w:cs="Times New Roman"/>
          <w:color w:val="000000" w:themeColor="text1"/>
        </w:rPr>
        <w:t>majeurs</w:t>
      </w:r>
      <w:r>
        <w:rPr>
          <w:rFonts w:ascii="Times New Roman" w:hAnsi="Times New Roman" w:cs="Times New Roman"/>
          <w:color w:val="000000" w:themeColor="text1"/>
        </w:rPr>
        <w:t xml:space="preserve"> et leurs causes. Mais, dans les différents chapitres, l’analyse causale n’est pas présentée de façon détaillée. Les causes sont étayées dans les arbres des problèmes joints en annexe.</w:t>
      </w:r>
      <w:bookmarkEnd w:id="58"/>
      <w:r>
        <w:rPr>
          <w:rFonts w:ascii="Times New Roman" w:hAnsi="Times New Roman" w:cs="Times New Roman"/>
          <w:color w:val="000000" w:themeColor="text1"/>
        </w:rPr>
        <w:t xml:space="preserve">  </w:t>
      </w:r>
      <w:bookmarkStart w:id="59" w:name="_Toc84789667"/>
      <w:bookmarkStart w:id="60" w:name="_Toc86687714"/>
      <w:bookmarkStart w:id="61" w:name="_Toc89479394"/>
      <w:bookmarkStart w:id="62" w:name="_Toc89480891"/>
    </w:p>
    <w:p w14:paraId="1B757DD7" w14:textId="77777777" w:rsidR="00B40343" w:rsidRPr="00E25B1F" w:rsidRDefault="0028280C" w:rsidP="00E25B1F">
      <w:pPr>
        <w:pStyle w:val="Titre3"/>
        <w:rPr>
          <w:rFonts w:ascii="Bernard MT Condensed" w:hAnsi="Bernard MT Condensed"/>
        </w:rPr>
      </w:pPr>
      <w:bookmarkStart w:id="63" w:name="_Toc94480134"/>
      <w:bookmarkStart w:id="64" w:name="_Toc94481795"/>
      <w:bookmarkStart w:id="65" w:name="_Toc94482058"/>
      <w:r w:rsidRPr="00E25B1F">
        <w:rPr>
          <w:rFonts w:ascii="Bernard MT Condensed" w:hAnsi="Bernard MT Condensed"/>
        </w:rPr>
        <w:t xml:space="preserve">I.3.1 - </w:t>
      </w:r>
      <w:bookmarkEnd w:id="59"/>
      <w:r w:rsidRPr="00E25B1F">
        <w:rPr>
          <w:rFonts w:ascii="Bernard MT Condensed" w:hAnsi="Bernard MT Condensed"/>
        </w:rPr>
        <w:t>Etat des lieux de la gouvernance politique</w:t>
      </w:r>
      <w:bookmarkStart w:id="66" w:name="_Toc86687715"/>
      <w:bookmarkStart w:id="67" w:name="_Toc89479395"/>
      <w:bookmarkStart w:id="68" w:name="_Toc89480892"/>
      <w:bookmarkEnd w:id="60"/>
      <w:bookmarkEnd w:id="61"/>
      <w:bookmarkEnd w:id="62"/>
      <w:bookmarkEnd w:id="63"/>
      <w:bookmarkEnd w:id="64"/>
      <w:bookmarkEnd w:id="65"/>
    </w:p>
    <w:p w14:paraId="14F87461" w14:textId="7A878AC3" w:rsidR="00B6276F" w:rsidRDefault="00FC230F" w:rsidP="00B40343">
      <w:pPr>
        <w:widowControl w:val="0"/>
        <w:pBdr>
          <w:top w:val="nil"/>
          <w:left w:val="nil"/>
          <w:bottom w:val="nil"/>
          <w:right w:val="nil"/>
          <w:between w:val="nil"/>
        </w:pBdr>
        <w:spacing w:line="240" w:lineRule="auto"/>
        <w:jc w:val="both"/>
        <w:rPr>
          <w:rFonts w:ascii="Times New Roman" w:eastAsia="Times New Roman" w:hAnsi="Times New Roman" w:cs="Times New Roman"/>
          <w:i/>
          <w:color w:val="000000" w:themeColor="text1"/>
          <w:lang w:eastAsia="fr-FR"/>
        </w:rPr>
      </w:pPr>
      <w:r w:rsidRPr="00422503">
        <w:rPr>
          <w:rFonts w:ascii="Times New Roman" w:hAnsi="Times New Roman" w:cs="Times New Roman"/>
        </w:rPr>
        <w:t>L’état des lieux de la gouvernance politique se focalise sur la c</w:t>
      </w:r>
      <w:r w:rsidR="004E422D" w:rsidRPr="00422503">
        <w:rPr>
          <w:rFonts w:ascii="Times New Roman" w:hAnsi="Times New Roman" w:cs="Times New Roman"/>
        </w:rPr>
        <w:t>onstruction de l’Etat de droit</w:t>
      </w:r>
      <w:r w:rsidRPr="00422503">
        <w:rPr>
          <w:rFonts w:ascii="Times New Roman" w:hAnsi="Times New Roman" w:cs="Times New Roman"/>
        </w:rPr>
        <w:t>. Elle met en lumière les d</w:t>
      </w:r>
      <w:r w:rsidR="004E422D" w:rsidRPr="00422503">
        <w:rPr>
          <w:rFonts w:ascii="Times New Roman" w:hAnsi="Times New Roman" w:cs="Times New Roman"/>
        </w:rPr>
        <w:t xml:space="preserve">éfis, </w:t>
      </w:r>
      <w:r w:rsidRPr="00422503">
        <w:rPr>
          <w:rFonts w:ascii="Times New Roman" w:hAnsi="Times New Roman" w:cs="Times New Roman"/>
        </w:rPr>
        <w:t xml:space="preserve">les </w:t>
      </w:r>
      <w:r w:rsidR="004E422D" w:rsidRPr="00422503">
        <w:rPr>
          <w:rFonts w:ascii="Times New Roman" w:hAnsi="Times New Roman" w:cs="Times New Roman"/>
        </w:rPr>
        <w:t xml:space="preserve">enjeux et </w:t>
      </w:r>
      <w:r w:rsidRPr="00422503">
        <w:rPr>
          <w:rFonts w:ascii="Times New Roman" w:hAnsi="Times New Roman" w:cs="Times New Roman"/>
        </w:rPr>
        <w:t xml:space="preserve">les </w:t>
      </w:r>
      <w:r w:rsidR="004E422D" w:rsidRPr="00422503">
        <w:rPr>
          <w:rFonts w:ascii="Times New Roman" w:hAnsi="Times New Roman" w:cs="Times New Roman"/>
        </w:rPr>
        <w:t>perspectives</w:t>
      </w:r>
      <w:r w:rsidRPr="00422503">
        <w:rPr>
          <w:rFonts w:ascii="Times New Roman" w:hAnsi="Times New Roman" w:cs="Times New Roman"/>
        </w:rPr>
        <w:t xml:space="preserve"> de ce processus qui est déterminant pour promouvoir le développement d</w:t>
      </w:r>
      <w:r w:rsidR="00B6276F">
        <w:rPr>
          <w:rFonts w:ascii="Times New Roman" w:hAnsi="Times New Roman" w:cs="Times New Roman"/>
        </w:rPr>
        <w:t>urable, la paix et la sécurité a</w:t>
      </w:r>
      <w:r w:rsidRPr="00422503">
        <w:rPr>
          <w:rFonts w:ascii="Times New Roman" w:hAnsi="Times New Roman" w:cs="Times New Roman"/>
        </w:rPr>
        <w:t xml:space="preserve">u Niger. </w:t>
      </w:r>
      <w:r w:rsidR="00422503">
        <w:rPr>
          <w:rFonts w:ascii="Times New Roman" w:hAnsi="Times New Roman" w:cs="Times New Roman"/>
        </w:rPr>
        <w:t>Pour aborder la problématique de la construction de l’Etat de droit, i</w:t>
      </w:r>
      <w:r w:rsidR="00075E90" w:rsidRPr="00075E90">
        <w:rPr>
          <w:rFonts w:ascii="Times New Roman" w:hAnsi="Times New Roman" w:cs="Times New Roman"/>
        </w:rPr>
        <w:t xml:space="preserve">l convient de rappeler </w:t>
      </w:r>
      <w:r w:rsidR="00075E90" w:rsidRPr="008372E1">
        <w:rPr>
          <w:rFonts w:ascii="Times New Roman" w:hAnsi="Times New Roman" w:cs="Times New Roman"/>
        </w:rPr>
        <w:t>qu’a</w:t>
      </w:r>
      <w:r w:rsidR="00075E90" w:rsidRPr="008372E1">
        <w:rPr>
          <w:rFonts w:ascii="Times New Roman" w:eastAsia="Times New Roman" w:hAnsi="Times New Roman" w:cs="Times New Roman"/>
          <w:lang w:eastAsia="fr-FR"/>
        </w:rPr>
        <w:t>u</w:t>
      </w:r>
      <w:r w:rsidR="008600B0">
        <w:rPr>
          <w:rFonts w:ascii="Times New Roman" w:eastAsia="Times New Roman" w:hAnsi="Times New Roman" w:cs="Times New Roman"/>
          <w:color w:val="000000" w:themeColor="text1"/>
          <w:lang w:eastAsia="fr-FR"/>
        </w:rPr>
        <w:t xml:space="preserve">  début du XXème</w:t>
      </w:r>
      <w:r w:rsidR="00075E90" w:rsidRPr="00075E90">
        <w:rPr>
          <w:rFonts w:ascii="Times New Roman" w:eastAsia="Times New Roman" w:hAnsi="Times New Roman" w:cs="Times New Roman"/>
          <w:color w:val="000000" w:themeColor="text1"/>
          <w:lang w:eastAsia="fr-FR"/>
        </w:rPr>
        <w:t xml:space="preserve"> siècle, le juriste autrichien </w:t>
      </w:r>
      <w:r w:rsidR="00075E90" w:rsidRPr="00075E90">
        <w:rPr>
          <w:rFonts w:ascii="Times New Roman" w:eastAsia="Times New Roman" w:hAnsi="Times New Roman" w:cs="Times New Roman"/>
          <w:b/>
          <w:bCs/>
          <w:color w:val="000000" w:themeColor="text1"/>
          <w:lang w:eastAsia="fr-FR"/>
        </w:rPr>
        <w:t>Hans Kelsen</w:t>
      </w:r>
      <w:r w:rsidR="00075E90" w:rsidRPr="00075E90">
        <w:rPr>
          <w:rFonts w:ascii="Times New Roman" w:eastAsia="Times New Roman" w:hAnsi="Times New Roman" w:cs="Times New Roman"/>
          <w:color w:val="000000" w:themeColor="text1"/>
          <w:lang w:eastAsia="fr-FR"/>
        </w:rPr>
        <w:t xml:space="preserve"> (1881-1973) a défini </w:t>
      </w:r>
      <w:r w:rsidR="00075E90" w:rsidRPr="008372E1">
        <w:rPr>
          <w:rFonts w:ascii="Times New Roman" w:eastAsia="Times New Roman" w:hAnsi="Times New Roman" w:cs="Times New Roman"/>
          <w:color w:val="000000" w:themeColor="text1"/>
          <w:lang w:eastAsia="fr-FR"/>
        </w:rPr>
        <w:t>l'Etat de droit comme</w:t>
      </w:r>
      <w:r w:rsidR="00075E90" w:rsidRPr="00075E90">
        <w:rPr>
          <w:rFonts w:ascii="Times New Roman" w:eastAsia="Times New Roman" w:hAnsi="Times New Roman" w:cs="Times New Roman"/>
          <w:i/>
          <w:color w:val="000000" w:themeColor="text1"/>
          <w:lang w:eastAsia="fr-FR"/>
        </w:rPr>
        <w:t xml:space="preserve"> </w:t>
      </w:r>
      <w:r w:rsidR="008372E1">
        <w:rPr>
          <w:rFonts w:ascii="Times New Roman" w:eastAsia="Times New Roman" w:hAnsi="Times New Roman" w:cs="Times New Roman"/>
          <w:i/>
          <w:color w:val="000000" w:themeColor="text1"/>
          <w:lang w:eastAsia="fr-FR"/>
        </w:rPr>
        <w:t>« </w:t>
      </w:r>
      <w:r w:rsidR="00075E90" w:rsidRPr="00075E90">
        <w:rPr>
          <w:rFonts w:ascii="Times New Roman" w:eastAsia="Times New Roman" w:hAnsi="Times New Roman" w:cs="Times New Roman"/>
          <w:i/>
          <w:color w:val="000000" w:themeColor="text1"/>
          <w:lang w:eastAsia="fr-FR"/>
        </w:rPr>
        <w:t xml:space="preserve">un Etat dans lequel les </w:t>
      </w:r>
      <w:hyperlink r:id="rId9" w:history="1">
        <w:r w:rsidR="00075E90" w:rsidRPr="008372E1">
          <w:rPr>
            <w:rFonts w:ascii="Times New Roman" w:eastAsia="Times New Roman" w:hAnsi="Times New Roman" w:cs="Times New Roman"/>
            <w:i/>
            <w:color w:val="000000" w:themeColor="text1"/>
            <w:lang w:eastAsia="fr-FR"/>
          </w:rPr>
          <w:t>normes</w:t>
        </w:r>
      </w:hyperlink>
      <w:r w:rsidR="00075E90" w:rsidRPr="00075E90">
        <w:rPr>
          <w:rFonts w:ascii="Times New Roman" w:eastAsia="Times New Roman" w:hAnsi="Times New Roman" w:cs="Times New Roman"/>
          <w:i/>
          <w:color w:val="000000" w:themeColor="text1"/>
          <w:lang w:eastAsia="fr-FR"/>
        </w:rPr>
        <w:t xml:space="preserve"> juridiques sont hiérarchisées de telle sorte que sa puissance s'en trouve limitée</w:t>
      </w:r>
      <w:r w:rsidR="00075E90" w:rsidRPr="00075E90">
        <w:rPr>
          <w:rFonts w:ascii="Times New Roman" w:eastAsia="Times New Roman" w:hAnsi="Times New Roman" w:cs="Times New Roman"/>
          <w:b/>
          <w:i/>
          <w:color w:val="000000" w:themeColor="text1"/>
          <w:lang w:eastAsia="fr-FR"/>
        </w:rPr>
        <w:t> ».</w:t>
      </w:r>
      <w:r w:rsidR="00075E90">
        <w:rPr>
          <w:rFonts w:ascii="Times New Roman" w:hAnsi="Times New Roman" w:cs="Times New Roman"/>
        </w:rPr>
        <w:t xml:space="preserve"> </w:t>
      </w:r>
      <w:r w:rsidR="00075E90" w:rsidRPr="008372E1">
        <w:rPr>
          <w:rFonts w:ascii="Times New Roman" w:hAnsi="Times New Roman" w:cs="Times New Roman"/>
        </w:rPr>
        <w:t xml:space="preserve">Il est essentiellement caractérisé par : (i) </w:t>
      </w:r>
      <w:r w:rsidR="00075E90" w:rsidRPr="008372E1">
        <w:rPr>
          <w:rFonts w:ascii="Times New Roman" w:eastAsia="Times New Roman" w:hAnsi="Times New Roman" w:cs="Times New Roman"/>
          <w:i/>
          <w:color w:val="000000" w:themeColor="text1"/>
          <w:lang w:eastAsia="fr-FR"/>
        </w:rPr>
        <w:t xml:space="preserve">Une </w:t>
      </w:r>
      <w:hyperlink r:id="rId10" w:history="1">
        <w:r w:rsidR="00075E90" w:rsidRPr="008372E1">
          <w:rPr>
            <w:rFonts w:ascii="Times New Roman" w:eastAsia="Times New Roman" w:hAnsi="Times New Roman" w:cs="Times New Roman"/>
            <w:bCs/>
            <w:i/>
            <w:color w:val="000000" w:themeColor="text1"/>
            <w:lang w:eastAsia="fr-FR"/>
          </w:rPr>
          <w:t>hiérarchie des normes</w:t>
        </w:r>
      </w:hyperlink>
      <w:r w:rsidR="00075E90" w:rsidRPr="008372E1">
        <w:rPr>
          <w:rFonts w:ascii="Times New Roman" w:eastAsia="Times New Roman" w:hAnsi="Times New Roman" w:cs="Times New Roman"/>
          <w:i/>
          <w:color w:val="000000" w:themeColor="text1"/>
          <w:lang w:eastAsia="fr-FR"/>
        </w:rPr>
        <w:t xml:space="preserve">, où chaque règle tire sa </w:t>
      </w:r>
      <w:hyperlink r:id="rId11" w:history="1">
        <w:r w:rsidR="00075E90" w:rsidRPr="008372E1">
          <w:rPr>
            <w:rFonts w:ascii="Times New Roman" w:eastAsia="Times New Roman" w:hAnsi="Times New Roman" w:cs="Times New Roman"/>
            <w:i/>
            <w:color w:val="000000" w:themeColor="text1"/>
            <w:lang w:eastAsia="fr-FR"/>
          </w:rPr>
          <w:t>légitimité</w:t>
        </w:r>
      </w:hyperlink>
      <w:r w:rsidR="00075E90" w:rsidRPr="008372E1">
        <w:rPr>
          <w:rFonts w:ascii="Times New Roman" w:eastAsia="Times New Roman" w:hAnsi="Times New Roman" w:cs="Times New Roman"/>
          <w:i/>
          <w:color w:val="000000" w:themeColor="text1"/>
          <w:lang w:eastAsia="fr-FR"/>
        </w:rPr>
        <w:t xml:space="preserve"> de sa conformité aux règles supérieures ; (ii) Une </w:t>
      </w:r>
      <w:hyperlink r:id="rId12" w:history="1">
        <w:r w:rsidR="00075E90" w:rsidRPr="008372E1">
          <w:rPr>
            <w:rFonts w:ascii="Times New Roman" w:eastAsia="Times New Roman" w:hAnsi="Times New Roman" w:cs="Times New Roman"/>
            <w:bCs/>
            <w:i/>
            <w:color w:val="000000" w:themeColor="text1"/>
            <w:lang w:eastAsia="fr-FR"/>
          </w:rPr>
          <w:t>séparation des pouvoirs</w:t>
        </w:r>
      </w:hyperlink>
      <w:r w:rsidR="00075E90" w:rsidRPr="008372E1">
        <w:rPr>
          <w:rFonts w:ascii="Times New Roman" w:eastAsia="Times New Roman" w:hAnsi="Times New Roman" w:cs="Times New Roman"/>
          <w:i/>
          <w:color w:val="000000" w:themeColor="text1"/>
          <w:lang w:eastAsia="fr-FR"/>
        </w:rPr>
        <w:t xml:space="preserve">, organisée par une </w:t>
      </w:r>
      <w:hyperlink r:id="rId13" w:history="1">
        <w:r w:rsidR="008372E1" w:rsidRPr="008372E1">
          <w:rPr>
            <w:rFonts w:ascii="Times New Roman" w:eastAsia="Times New Roman" w:hAnsi="Times New Roman" w:cs="Times New Roman"/>
            <w:i/>
            <w:color w:val="000000" w:themeColor="text1"/>
            <w:lang w:eastAsia="fr-FR"/>
          </w:rPr>
          <w:t>c</w:t>
        </w:r>
        <w:r w:rsidR="00075E90" w:rsidRPr="008372E1">
          <w:rPr>
            <w:rFonts w:ascii="Times New Roman" w:eastAsia="Times New Roman" w:hAnsi="Times New Roman" w:cs="Times New Roman"/>
            <w:i/>
            <w:color w:val="000000" w:themeColor="text1"/>
            <w:lang w:eastAsia="fr-FR"/>
          </w:rPr>
          <w:t>onstitution</w:t>
        </w:r>
      </w:hyperlink>
      <w:r w:rsidR="00075E90" w:rsidRPr="008372E1">
        <w:rPr>
          <w:rFonts w:ascii="Times New Roman" w:eastAsia="Times New Roman" w:hAnsi="Times New Roman" w:cs="Times New Roman"/>
          <w:i/>
          <w:color w:val="000000" w:themeColor="text1"/>
          <w:lang w:eastAsia="fr-FR"/>
        </w:rPr>
        <w:t>, notamment l'</w:t>
      </w:r>
      <w:hyperlink r:id="rId14" w:history="1">
        <w:r w:rsidR="00075E90" w:rsidRPr="008372E1">
          <w:rPr>
            <w:rFonts w:ascii="Times New Roman" w:eastAsia="Times New Roman" w:hAnsi="Times New Roman" w:cs="Times New Roman"/>
            <w:i/>
            <w:color w:val="000000" w:themeColor="text1"/>
            <w:lang w:eastAsia="fr-FR"/>
          </w:rPr>
          <w:t>indépendance</w:t>
        </w:r>
      </w:hyperlink>
      <w:r w:rsidR="00075E90" w:rsidRPr="008372E1">
        <w:rPr>
          <w:rFonts w:ascii="Times New Roman" w:eastAsia="Times New Roman" w:hAnsi="Times New Roman" w:cs="Times New Roman"/>
          <w:i/>
          <w:color w:val="000000" w:themeColor="text1"/>
          <w:lang w:eastAsia="fr-FR"/>
        </w:rPr>
        <w:t xml:space="preserve"> du </w:t>
      </w:r>
      <w:hyperlink r:id="rId15" w:history="1">
        <w:r w:rsidR="00075E90" w:rsidRPr="008372E1">
          <w:rPr>
            <w:rFonts w:ascii="Times New Roman" w:eastAsia="Times New Roman" w:hAnsi="Times New Roman" w:cs="Times New Roman"/>
            <w:i/>
            <w:color w:val="000000" w:themeColor="text1"/>
            <w:lang w:eastAsia="fr-FR"/>
          </w:rPr>
          <w:t>pouvoir judiciaire</w:t>
        </w:r>
      </w:hyperlink>
      <w:r w:rsidR="00075E90" w:rsidRPr="008372E1">
        <w:rPr>
          <w:rFonts w:ascii="Times New Roman" w:eastAsia="Times New Roman" w:hAnsi="Times New Roman" w:cs="Times New Roman"/>
          <w:i/>
          <w:color w:val="000000" w:themeColor="text1"/>
          <w:lang w:eastAsia="fr-FR"/>
        </w:rPr>
        <w:t xml:space="preserve"> par rapport aux pouvoirs </w:t>
      </w:r>
      <w:hyperlink r:id="rId16" w:history="1">
        <w:r w:rsidR="00075E90" w:rsidRPr="008372E1">
          <w:rPr>
            <w:rFonts w:ascii="Times New Roman" w:eastAsia="Times New Roman" w:hAnsi="Times New Roman" w:cs="Times New Roman"/>
            <w:i/>
            <w:color w:val="000000" w:themeColor="text1"/>
            <w:lang w:eastAsia="fr-FR"/>
          </w:rPr>
          <w:t>exécutif</w:t>
        </w:r>
      </w:hyperlink>
      <w:r w:rsidR="00075E90" w:rsidRPr="008372E1">
        <w:rPr>
          <w:rFonts w:ascii="Times New Roman" w:eastAsia="Times New Roman" w:hAnsi="Times New Roman" w:cs="Times New Roman"/>
          <w:i/>
          <w:color w:val="000000" w:themeColor="text1"/>
          <w:lang w:eastAsia="fr-FR"/>
        </w:rPr>
        <w:t xml:space="preserve"> et </w:t>
      </w:r>
      <w:hyperlink r:id="rId17" w:history="1">
        <w:r w:rsidR="00075E90" w:rsidRPr="008372E1">
          <w:rPr>
            <w:rFonts w:ascii="Times New Roman" w:eastAsia="Times New Roman" w:hAnsi="Times New Roman" w:cs="Times New Roman"/>
            <w:i/>
            <w:color w:val="000000" w:themeColor="text1"/>
            <w:lang w:eastAsia="fr-FR"/>
          </w:rPr>
          <w:t>législatif</w:t>
        </w:r>
      </w:hyperlink>
      <w:r w:rsidR="00075E90" w:rsidRPr="008372E1">
        <w:rPr>
          <w:rFonts w:ascii="Times New Roman" w:eastAsia="Times New Roman" w:hAnsi="Times New Roman" w:cs="Times New Roman"/>
          <w:i/>
          <w:color w:val="000000" w:themeColor="text1"/>
          <w:lang w:eastAsia="fr-FR"/>
        </w:rPr>
        <w:t> ; (iii) L'</w:t>
      </w:r>
      <w:hyperlink r:id="rId18" w:history="1">
        <w:r w:rsidR="00075E90" w:rsidRPr="008372E1">
          <w:rPr>
            <w:rFonts w:ascii="Times New Roman" w:eastAsia="Times New Roman" w:hAnsi="Times New Roman" w:cs="Times New Roman"/>
            <w:bCs/>
            <w:i/>
            <w:color w:val="000000" w:themeColor="text1"/>
            <w:lang w:eastAsia="fr-FR"/>
          </w:rPr>
          <w:t>égalité</w:t>
        </w:r>
      </w:hyperlink>
      <w:r w:rsidR="00075E90" w:rsidRPr="008372E1">
        <w:rPr>
          <w:rFonts w:ascii="Times New Roman" w:eastAsia="Times New Roman" w:hAnsi="Times New Roman" w:cs="Times New Roman"/>
          <w:i/>
          <w:color w:val="000000" w:themeColor="text1"/>
          <w:lang w:eastAsia="fr-FR"/>
        </w:rPr>
        <w:t xml:space="preserve"> de tous, personnes physiques ou morales, </w:t>
      </w:r>
      <w:r w:rsidR="00075E90" w:rsidRPr="008372E1">
        <w:rPr>
          <w:rFonts w:ascii="Times New Roman" w:eastAsia="Times New Roman" w:hAnsi="Times New Roman" w:cs="Times New Roman"/>
          <w:bCs/>
          <w:i/>
          <w:color w:val="000000" w:themeColor="text1"/>
          <w:lang w:eastAsia="fr-FR"/>
        </w:rPr>
        <w:t xml:space="preserve">devant les </w:t>
      </w:r>
      <w:hyperlink r:id="rId19" w:history="1">
        <w:r w:rsidR="00075E90" w:rsidRPr="008372E1">
          <w:rPr>
            <w:rFonts w:ascii="Times New Roman" w:eastAsia="Times New Roman" w:hAnsi="Times New Roman" w:cs="Times New Roman"/>
            <w:bCs/>
            <w:i/>
            <w:color w:val="000000" w:themeColor="text1"/>
            <w:lang w:eastAsia="fr-FR"/>
          </w:rPr>
          <w:t>règles de droit</w:t>
        </w:r>
      </w:hyperlink>
      <w:r w:rsidR="00075E90" w:rsidRPr="008372E1">
        <w:rPr>
          <w:rFonts w:ascii="Times New Roman" w:eastAsia="Times New Roman" w:hAnsi="Times New Roman" w:cs="Times New Roman"/>
          <w:i/>
          <w:color w:val="000000" w:themeColor="text1"/>
          <w:lang w:eastAsia="fr-FR"/>
        </w:rPr>
        <w:t xml:space="preserve">, ; (iv) </w:t>
      </w:r>
      <w:r w:rsidR="008372E1" w:rsidRPr="008372E1">
        <w:rPr>
          <w:rFonts w:ascii="Times New Roman" w:eastAsia="Times New Roman" w:hAnsi="Times New Roman" w:cs="Times New Roman"/>
          <w:i/>
          <w:color w:val="000000" w:themeColor="text1"/>
          <w:lang w:eastAsia="fr-FR"/>
        </w:rPr>
        <w:t>L</w:t>
      </w:r>
      <w:r w:rsidR="00075E90" w:rsidRPr="008372E1">
        <w:rPr>
          <w:rFonts w:ascii="Times New Roman" w:eastAsia="Times New Roman" w:hAnsi="Times New Roman" w:cs="Times New Roman"/>
          <w:i/>
          <w:color w:val="000000" w:themeColor="text1"/>
          <w:lang w:eastAsia="fr-FR"/>
        </w:rPr>
        <w:t xml:space="preserve">a </w:t>
      </w:r>
      <w:r w:rsidR="00075E90" w:rsidRPr="008372E1">
        <w:rPr>
          <w:rFonts w:ascii="Times New Roman" w:eastAsia="Times New Roman" w:hAnsi="Times New Roman" w:cs="Times New Roman"/>
          <w:bCs/>
          <w:i/>
          <w:color w:val="000000" w:themeColor="text1"/>
          <w:lang w:eastAsia="fr-FR"/>
        </w:rPr>
        <w:t>soumission de l'Etat</w:t>
      </w:r>
      <w:r w:rsidR="00075E90" w:rsidRPr="008372E1">
        <w:rPr>
          <w:rFonts w:ascii="Times New Roman" w:eastAsia="Times New Roman" w:hAnsi="Times New Roman" w:cs="Times New Roman"/>
          <w:i/>
          <w:color w:val="000000" w:themeColor="text1"/>
          <w:lang w:eastAsia="fr-FR"/>
        </w:rPr>
        <w:t xml:space="preserve">, considéré comme une </w:t>
      </w:r>
      <w:hyperlink r:id="rId20" w:history="1">
        <w:r w:rsidR="00075E90" w:rsidRPr="008372E1">
          <w:rPr>
            <w:rFonts w:ascii="Times New Roman" w:eastAsia="Times New Roman" w:hAnsi="Times New Roman" w:cs="Times New Roman"/>
            <w:i/>
            <w:color w:val="000000" w:themeColor="text1"/>
            <w:lang w:eastAsia="fr-FR"/>
          </w:rPr>
          <w:t>personne morale</w:t>
        </w:r>
      </w:hyperlink>
      <w:r w:rsidR="00075E90" w:rsidRPr="008372E1">
        <w:rPr>
          <w:rFonts w:ascii="Times New Roman" w:eastAsia="Times New Roman" w:hAnsi="Times New Roman" w:cs="Times New Roman"/>
          <w:i/>
          <w:color w:val="000000" w:themeColor="text1"/>
          <w:lang w:eastAsia="fr-FR"/>
        </w:rPr>
        <w:t xml:space="preserve">, au </w:t>
      </w:r>
      <w:r w:rsidR="00075E90" w:rsidRPr="008372E1">
        <w:rPr>
          <w:rFonts w:ascii="Times New Roman" w:eastAsia="Times New Roman" w:hAnsi="Times New Roman" w:cs="Times New Roman"/>
          <w:bCs/>
          <w:i/>
          <w:color w:val="000000" w:themeColor="text1"/>
          <w:lang w:eastAsia="fr-FR"/>
        </w:rPr>
        <w:t>respect des règles de droit</w:t>
      </w:r>
      <w:r w:rsidR="008372E1" w:rsidRPr="008372E1">
        <w:rPr>
          <w:rFonts w:ascii="Times New Roman" w:eastAsia="Times New Roman" w:hAnsi="Times New Roman" w:cs="Times New Roman"/>
          <w:i/>
          <w:color w:val="000000" w:themeColor="text1"/>
          <w:lang w:eastAsia="fr-FR"/>
        </w:rPr>
        <w:t> ; (v) L</w:t>
      </w:r>
      <w:r w:rsidR="00075E90" w:rsidRPr="008372E1">
        <w:rPr>
          <w:rFonts w:ascii="Times New Roman" w:eastAsia="Times New Roman" w:hAnsi="Times New Roman" w:cs="Times New Roman"/>
          <w:i/>
          <w:color w:val="000000" w:themeColor="text1"/>
          <w:lang w:eastAsia="fr-FR"/>
        </w:rPr>
        <w:t xml:space="preserve">a </w:t>
      </w:r>
      <w:hyperlink r:id="rId21" w:history="1">
        <w:r w:rsidR="00075E90" w:rsidRPr="008372E1">
          <w:rPr>
            <w:rFonts w:ascii="Times New Roman" w:eastAsia="Times New Roman" w:hAnsi="Times New Roman" w:cs="Times New Roman"/>
            <w:i/>
            <w:color w:val="000000" w:themeColor="text1"/>
            <w:lang w:eastAsia="fr-FR"/>
          </w:rPr>
          <w:t>responsabilité</w:t>
        </w:r>
      </w:hyperlink>
      <w:r w:rsidR="00075E90" w:rsidRPr="008372E1">
        <w:rPr>
          <w:rFonts w:ascii="Times New Roman" w:eastAsia="Times New Roman" w:hAnsi="Times New Roman" w:cs="Times New Roman"/>
          <w:i/>
          <w:color w:val="000000" w:themeColor="text1"/>
          <w:lang w:eastAsia="fr-FR"/>
        </w:rPr>
        <w:t xml:space="preserve"> des gouvernants face à leurs actes ou décisions.</w:t>
      </w:r>
      <w:r w:rsidR="00422503">
        <w:rPr>
          <w:rFonts w:ascii="Times New Roman" w:eastAsia="Times New Roman" w:hAnsi="Times New Roman" w:cs="Times New Roman"/>
          <w:i/>
          <w:color w:val="000000" w:themeColor="text1"/>
          <w:lang w:eastAsia="fr-FR"/>
        </w:rPr>
        <w:t xml:space="preserve"> </w:t>
      </w:r>
    </w:p>
    <w:p w14:paraId="5EAE36C1" w14:textId="67A2544B" w:rsidR="0028280C" w:rsidRPr="00B40343" w:rsidRDefault="008372E1" w:rsidP="00B40343">
      <w:pPr>
        <w:widowControl w:val="0"/>
        <w:pBdr>
          <w:top w:val="nil"/>
          <w:left w:val="nil"/>
          <w:bottom w:val="nil"/>
          <w:right w:val="nil"/>
          <w:between w:val="nil"/>
        </w:pBdr>
        <w:spacing w:line="240" w:lineRule="auto"/>
        <w:jc w:val="both"/>
        <w:rPr>
          <w:rFonts w:ascii="Times New Roman" w:hAnsi="Times New Roman" w:cs="Times New Roman"/>
          <w:color w:val="000000" w:themeColor="text1"/>
        </w:rPr>
      </w:pPr>
      <w:r>
        <w:rPr>
          <w:rFonts w:ascii="Times New Roman" w:eastAsia="Times New Roman" w:hAnsi="Times New Roman" w:cs="Times New Roman"/>
          <w:color w:val="000000" w:themeColor="text1"/>
          <w:lang w:eastAsia="fr-FR"/>
        </w:rPr>
        <w:t>Au cours des dix dernières années, le Niger a enregistré</w:t>
      </w:r>
      <w:r w:rsidR="00503321">
        <w:rPr>
          <w:rFonts w:ascii="Times New Roman" w:eastAsia="Times New Roman" w:hAnsi="Times New Roman" w:cs="Times New Roman"/>
          <w:color w:val="000000" w:themeColor="text1"/>
          <w:lang w:eastAsia="fr-FR"/>
        </w:rPr>
        <w:t xml:space="preserve"> des progrès notables</w:t>
      </w:r>
      <w:r>
        <w:rPr>
          <w:rFonts w:ascii="Times New Roman" w:eastAsia="Times New Roman" w:hAnsi="Times New Roman" w:cs="Times New Roman"/>
          <w:color w:val="000000" w:themeColor="text1"/>
          <w:lang w:eastAsia="fr-FR"/>
        </w:rPr>
        <w:t xml:space="preserve"> dans la gouvernance politique particulièrement dans la construction de l’Etat de droit.</w:t>
      </w:r>
      <w:r w:rsidRPr="008372E1">
        <w:rPr>
          <w:rFonts w:ascii="Times New Roman" w:eastAsia="Times New Roman" w:hAnsi="Times New Roman" w:cs="Times New Roman"/>
          <w:lang w:eastAsia="fr-FR"/>
        </w:rPr>
        <w:t xml:space="preserve"> </w:t>
      </w:r>
      <w:r>
        <w:rPr>
          <w:rFonts w:ascii="Times New Roman" w:eastAsia="Times New Roman" w:hAnsi="Times New Roman" w:cs="Times New Roman"/>
          <w:lang w:eastAsia="fr-FR"/>
        </w:rPr>
        <w:t>En effet, d</w:t>
      </w:r>
      <w:r w:rsidRPr="00156DCA">
        <w:rPr>
          <w:rFonts w:ascii="Times New Roman" w:eastAsia="Times New Roman" w:hAnsi="Times New Roman" w:cs="Times New Roman"/>
          <w:lang w:eastAsia="fr-FR"/>
        </w:rPr>
        <w:t>epuis son indépendance le 3 août 1960, le Niger a connu sept constitutions. La conférence nationale de 1991 « constitue l’un des effets induits du vent de démocratie qui soufflait avec tant de force sur l’Afrique et le reste du monde »</w:t>
      </w:r>
      <w:r>
        <w:rPr>
          <w:rStyle w:val="Appelnotedebasdep"/>
          <w:rFonts w:ascii="Times New Roman" w:eastAsia="Times New Roman" w:hAnsi="Times New Roman" w:cs="Times New Roman"/>
          <w:lang w:eastAsia="fr-FR"/>
        </w:rPr>
        <w:footnoteReference w:id="5"/>
      </w:r>
      <w:r w:rsidRPr="00156DCA">
        <w:rPr>
          <w:rFonts w:ascii="Times New Roman" w:eastAsia="Times New Roman" w:hAnsi="Times New Roman" w:cs="Times New Roman"/>
          <w:lang w:eastAsia="fr-FR"/>
        </w:rPr>
        <w:t xml:space="preserve">. Après avoir connu quatre coups d'État militaires et une série de rébellions internes dans le nord du pays, la </w:t>
      </w:r>
      <w:hyperlink r:id="rId22" w:history="1">
        <w:r w:rsidRPr="003357E7">
          <w:rPr>
            <w:rFonts w:ascii="Times New Roman" w:eastAsia="Times New Roman" w:hAnsi="Times New Roman" w:cs="Times New Roman"/>
            <w:lang w:eastAsia="fr-FR"/>
          </w:rPr>
          <w:t xml:space="preserve">constitution du </w:t>
        </w:r>
        <w:r w:rsidRPr="00156DCA">
          <w:rPr>
            <w:rFonts w:ascii="Times New Roman" w:eastAsia="Times New Roman" w:hAnsi="Times New Roman" w:cs="Times New Roman"/>
            <w:lang w:eastAsia="fr-FR"/>
          </w:rPr>
          <w:t xml:space="preserve">25 novembre 2010 a </w:t>
        </w:r>
        <w:r>
          <w:rPr>
            <w:rFonts w:ascii="Times New Roman" w:eastAsia="Times New Roman" w:hAnsi="Times New Roman" w:cs="Times New Roman"/>
            <w:lang w:eastAsia="fr-FR"/>
          </w:rPr>
          <w:t>consacré la 7</w:t>
        </w:r>
        <w:r w:rsidRPr="004E422D">
          <w:rPr>
            <w:rFonts w:ascii="Times New Roman" w:eastAsia="Times New Roman" w:hAnsi="Times New Roman" w:cs="Times New Roman"/>
            <w:vertAlign w:val="superscript"/>
            <w:lang w:eastAsia="fr-FR"/>
          </w:rPr>
          <w:t>ème</w:t>
        </w:r>
        <w:r>
          <w:rPr>
            <w:rFonts w:ascii="Times New Roman" w:eastAsia="Times New Roman" w:hAnsi="Times New Roman" w:cs="Times New Roman"/>
            <w:lang w:eastAsia="fr-FR"/>
          </w:rPr>
          <w:t xml:space="preserve"> </w:t>
        </w:r>
        <w:r w:rsidRPr="003357E7">
          <w:rPr>
            <w:rFonts w:ascii="Times New Roman" w:eastAsia="Times New Roman" w:hAnsi="Times New Roman" w:cs="Times New Roman"/>
            <w:lang w:eastAsia="fr-FR"/>
          </w:rPr>
          <w:t xml:space="preserve"> République</w:t>
        </w:r>
      </w:hyperlink>
      <w:r w:rsidRPr="00156DCA">
        <w:rPr>
          <w:rFonts w:ascii="Times New Roman" w:eastAsia="Times New Roman" w:hAnsi="Times New Roman" w:cs="Times New Roman"/>
          <w:lang w:eastAsia="fr-FR"/>
        </w:rPr>
        <w:t>. Elle a apporté une réponse à la crise institutionnelle qui fragilisait l’Etat de droit. Elle a aussi renforcé la démocratie et ancré les principes de gouvernance en clarifiant les rapports entre les institutions et en établissa</w:t>
      </w:r>
      <w:r>
        <w:rPr>
          <w:rFonts w:ascii="Times New Roman" w:eastAsia="Times New Roman" w:hAnsi="Times New Roman" w:cs="Times New Roman"/>
          <w:lang w:eastAsia="fr-FR"/>
        </w:rPr>
        <w:t>nt des mécanismes de contrôle.</w:t>
      </w:r>
      <w:r w:rsidR="001516E2">
        <w:rPr>
          <w:rFonts w:ascii="Times New Roman" w:eastAsia="Times New Roman" w:hAnsi="Times New Roman" w:cs="Times New Roman"/>
          <w:lang w:eastAsia="fr-FR"/>
        </w:rPr>
        <w:t xml:space="preserve"> </w:t>
      </w:r>
      <w:r w:rsidR="0028280C" w:rsidRPr="00156DCA">
        <w:rPr>
          <w:rFonts w:ascii="Times New Roman" w:eastAsia="Times New Roman" w:hAnsi="Times New Roman" w:cs="Times New Roman"/>
          <w:lang w:eastAsia="fr-FR"/>
        </w:rPr>
        <w:t xml:space="preserve">Selon l’article 1 de la constitution de 2010, </w:t>
      </w:r>
      <w:r w:rsidR="004E422D">
        <w:rPr>
          <w:rFonts w:ascii="Times New Roman" w:eastAsia="Times New Roman" w:hAnsi="Times New Roman" w:cs="Times New Roman"/>
          <w:lang w:eastAsia="fr-FR"/>
        </w:rPr>
        <w:t>« </w:t>
      </w:r>
      <w:r w:rsidR="0028280C" w:rsidRPr="004E422D">
        <w:rPr>
          <w:rFonts w:ascii="Times New Roman" w:eastAsia="Times New Roman" w:hAnsi="Times New Roman" w:cs="Times New Roman"/>
          <w:i/>
          <w:lang w:eastAsia="fr-FR"/>
        </w:rPr>
        <w:t>le Niger est une République indépendante et souveraine</w:t>
      </w:r>
      <w:r w:rsidR="004E422D">
        <w:rPr>
          <w:rFonts w:ascii="Times New Roman" w:eastAsia="Times New Roman" w:hAnsi="Times New Roman" w:cs="Times New Roman"/>
          <w:lang w:eastAsia="fr-FR"/>
        </w:rPr>
        <w:t> »</w:t>
      </w:r>
      <w:r w:rsidR="0028280C" w:rsidRPr="00156DCA">
        <w:rPr>
          <w:rFonts w:ascii="Times New Roman" w:eastAsia="Times New Roman" w:hAnsi="Times New Roman" w:cs="Times New Roman"/>
          <w:lang w:eastAsia="fr-FR"/>
        </w:rPr>
        <w:t xml:space="preserve">. L’article 3 stipule que </w:t>
      </w:r>
      <w:r w:rsidR="004E422D">
        <w:rPr>
          <w:rFonts w:ascii="Times New Roman" w:eastAsia="Times New Roman" w:hAnsi="Times New Roman" w:cs="Times New Roman"/>
          <w:lang w:eastAsia="fr-FR"/>
        </w:rPr>
        <w:t>« </w:t>
      </w:r>
      <w:r w:rsidR="0028280C" w:rsidRPr="004E422D">
        <w:rPr>
          <w:rFonts w:ascii="Times New Roman" w:eastAsia="Times New Roman" w:hAnsi="Times New Roman" w:cs="Times New Roman"/>
          <w:i/>
          <w:lang w:eastAsia="fr-FR"/>
        </w:rPr>
        <w:t>la République du Niger est un Etat unitaire. Elle est une et indivisible, démocratique et sociale</w:t>
      </w:r>
      <w:r w:rsidR="004E422D">
        <w:rPr>
          <w:rFonts w:ascii="Times New Roman" w:eastAsia="Times New Roman" w:hAnsi="Times New Roman" w:cs="Times New Roman"/>
          <w:lang w:eastAsia="fr-FR"/>
        </w:rPr>
        <w:t> »</w:t>
      </w:r>
      <w:r w:rsidR="0028280C" w:rsidRPr="00156DCA">
        <w:rPr>
          <w:rFonts w:ascii="Times New Roman" w:eastAsia="Times New Roman" w:hAnsi="Times New Roman" w:cs="Times New Roman"/>
          <w:lang w:eastAsia="fr-FR"/>
        </w:rPr>
        <w:t xml:space="preserve">. L’article 8 précise que </w:t>
      </w:r>
      <w:r w:rsidR="004E422D">
        <w:rPr>
          <w:rFonts w:ascii="Times New Roman" w:eastAsia="Times New Roman" w:hAnsi="Times New Roman" w:cs="Times New Roman"/>
          <w:lang w:eastAsia="fr-FR"/>
        </w:rPr>
        <w:t>« </w:t>
      </w:r>
      <w:r w:rsidR="0028280C" w:rsidRPr="00503321">
        <w:rPr>
          <w:rFonts w:ascii="Times New Roman" w:eastAsia="Times New Roman" w:hAnsi="Times New Roman" w:cs="Times New Roman"/>
          <w:i/>
          <w:lang w:eastAsia="fr-FR"/>
        </w:rPr>
        <w:t>la République du Niger est un Etat de droit</w:t>
      </w:r>
      <w:r w:rsidR="004E422D">
        <w:rPr>
          <w:rFonts w:ascii="Times New Roman" w:eastAsia="Times New Roman" w:hAnsi="Times New Roman" w:cs="Times New Roman"/>
          <w:lang w:eastAsia="fr-FR"/>
        </w:rPr>
        <w:t> »</w:t>
      </w:r>
      <w:r w:rsidR="0028280C" w:rsidRPr="00156DCA">
        <w:rPr>
          <w:rFonts w:ascii="Times New Roman" w:eastAsia="Times New Roman" w:hAnsi="Times New Roman" w:cs="Times New Roman"/>
          <w:lang w:eastAsia="fr-FR"/>
        </w:rPr>
        <w:t xml:space="preserve">. La constitution a consacré les droits et les devoirs de la personne humaine. Elle a institué la séparation des pouvoirs et un régime politique </w:t>
      </w:r>
      <w:r w:rsidR="00D348DF" w:rsidRPr="00156DCA">
        <w:rPr>
          <w:rFonts w:ascii="Times New Roman" w:eastAsia="Times New Roman" w:hAnsi="Times New Roman" w:cs="Times New Roman"/>
          <w:lang w:eastAsia="fr-FR"/>
        </w:rPr>
        <w:t>semi-présidentiel</w:t>
      </w:r>
      <w:r w:rsidR="0028280C" w:rsidRPr="00156DCA">
        <w:rPr>
          <w:rFonts w:ascii="Times New Roman" w:eastAsia="Times New Roman" w:hAnsi="Times New Roman" w:cs="Times New Roman"/>
          <w:lang w:eastAsia="fr-FR"/>
        </w:rPr>
        <w:t>.</w:t>
      </w:r>
      <w:bookmarkEnd w:id="66"/>
      <w:bookmarkEnd w:id="67"/>
      <w:bookmarkEnd w:id="68"/>
      <w:r w:rsidR="0028280C" w:rsidRPr="00156DCA">
        <w:rPr>
          <w:rFonts w:ascii="Times New Roman" w:eastAsia="Times New Roman" w:hAnsi="Times New Roman" w:cs="Times New Roman"/>
          <w:lang w:eastAsia="fr-FR"/>
        </w:rPr>
        <w:t xml:space="preserve">    </w:t>
      </w:r>
    </w:p>
    <w:p w14:paraId="5C77685F" w14:textId="05EEEDDC" w:rsidR="0028280C" w:rsidRPr="00942660" w:rsidRDefault="0028280C" w:rsidP="0028280C">
      <w:pPr>
        <w:pStyle w:val="NormalWeb"/>
        <w:jc w:val="both"/>
        <w:rPr>
          <w:sz w:val="22"/>
          <w:szCs w:val="22"/>
        </w:rPr>
      </w:pPr>
      <w:r w:rsidRPr="0033560E">
        <w:rPr>
          <w:b/>
          <w:i/>
          <w:color w:val="000000" w:themeColor="text1"/>
          <w:sz w:val="22"/>
          <w:szCs w:val="22"/>
        </w:rPr>
        <w:t xml:space="preserve">Le </w:t>
      </w:r>
      <w:r w:rsidRPr="0033560E">
        <w:rPr>
          <w:b/>
          <w:bCs/>
          <w:i/>
          <w:color w:val="000000" w:themeColor="text1"/>
          <w:sz w:val="22"/>
          <w:szCs w:val="22"/>
        </w:rPr>
        <w:t>pouvoir exécutif</w:t>
      </w:r>
      <w:r w:rsidRPr="007F5ECB">
        <w:rPr>
          <w:color w:val="000000" w:themeColor="text1"/>
          <w:sz w:val="22"/>
          <w:szCs w:val="22"/>
        </w:rPr>
        <w:t xml:space="preserve"> est exercé </w:t>
      </w:r>
      <w:r>
        <w:rPr>
          <w:color w:val="000000" w:themeColor="text1"/>
          <w:sz w:val="22"/>
          <w:szCs w:val="22"/>
        </w:rPr>
        <w:t>par l</w:t>
      </w:r>
      <w:r w:rsidRPr="00942660">
        <w:rPr>
          <w:sz w:val="22"/>
          <w:szCs w:val="22"/>
        </w:rPr>
        <w:t xml:space="preserve">e </w:t>
      </w:r>
      <w:r w:rsidRPr="00942660">
        <w:rPr>
          <w:bCs/>
          <w:sz w:val="22"/>
          <w:szCs w:val="22"/>
        </w:rPr>
        <w:t>Président</w:t>
      </w:r>
      <w:r w:rsidRPr="00942660">
        <w:rPr>
          <w:sz w:val="22"/>
          <w:szCs w:val="22"/>
        </w:rPr>
        <w:t xml:space="preserve"> de la République</w:t>
      </w:r>
      <w:r>
        <w:rPr>
          <w:sz w:val="22"/>
          <w:szCs w:val="22"/>
        </w:rPr>
        <w:t xml:space="preserve"> qui est </w:t>
      </w:r>
      <w:r w:rsidRPr="00942660">
        <w:rPr>
          <w:sz w:val="22"/>
          <w:szCs w:val="22"/>
        </w:rPr>
        <w:t>le chef de l'Éta</w:t>
      </w:r>
      <w:r>
        <w:rPr>
          <w:sz w:val="22"/>
          <w:szCs w:val="22"/>
        </w:rPr>
        <w:t>t et le Premier ministre qui assume la fonction de chef du gouvernement</w:t>
      </w:r>
      <w:r w:rsidRPr="007F5ECB">
        <w:rPr>
          <w:color w:val="000000" w:themeColor="text1"/>
          <w:sz w:val="22"/>
          <w:szCs w:val="22"/>
        </w:rPr>
        <w:t xml:space="preserve">. </w:t>
      </w:r>
      <w:r w:rsidRPr="0033560E">
        <w:rPr>
          <w:b/>
          <w:i/>
          <w:color w:val="000000" w:themeColor="text1"/>
          <w:sz w:val="22"/>
          <w:szCs w:val="22"/>
        </w:rPr>
        <w:t xml:space="preserve">Le </w:t>
      </w:r>
      <w:r w:rsidRPr="0033560E">
        <w:rPr>
          <w:b/>
          <w:bCs/>
          <w:i/>
          <w:color w:val="000000" w:themeColor="text1"/>
          <w:sz w:val="22"/>
          <w:szCs w:val="22"/>
        </w:rPr>
        <w:t>pouvoir législatif</w:t>
      </w:r>
      <w:r w:rsidRPr="007F5ECB">
        <w:rPr>
          <w:color w:val="000000" w:themeColor="text1"/>
          <w:sz w:val="22"/>
          <w:szCs w:val="22"/>
        </w:rPr>
        <w:t xml:space="preserve"> est détenu par l'Assemblée nationale </w:t>
      </w:r>
      <w:r w:rsidRPr="00942660">
        <w:rPr>
          <w:sz w:val="22"/>
          <w:szCs w:val="22"/>
        </w:rPr>
        <w:t xml:space="preserve">qui délibère et vote les lois. Elle est également chargée du contrôle de l’action du Gouvernement. Elle est monocamérale et compte 171 députés élus sur un mode proportionnel pour un mandat renouvelable de cinq ans. Huit sièges sont attribués pour représenter des minorités nationales, sous la forme de circonscriptions spéciales. Cinq sièges reviennent à des représentants de la diaspora. </w:t>
      </w:r>
    </w:p>
    <w:p w14:paraId="4A86ED4A" w14:textId="5988A7F9" w:rsidR="00422503" w:rsidRPr="00503321" w:rsidRDefault="0028280C" w:rsidP="0028280C">
      <w:pPr>
        <w:pStyle w:val="NormalWeb"/>
        <w:jc w:val="both"/>
        <w:rPr>
          <w:bCs/>
          <w:sz w:val="22"/>
          <w:szCs w:val="22"/>
        </w:rPr>
      </w:pPr>
      <w:r w:rsidRPr="0033560E">
        <w:rPr>
          <w:b/>
          <w:i/>
          <w:sz w:val="22"/>
          <w:szCs w:val="22"/>
        </w:rPr>
        <w:t xml:space="preserve">Le </w:t>
      </w:r>
      <w:r w:rsidRPr="0033560E">
        <w:rPr>
          <w:b/>
          <w:bCs/>
          <w:i/>
          <w:sz w:val="22"/>
          <w:szCs w:val="22"/>
        </w:rPr>
        <w:t>pouvoir judiciaire</w:t>
      </w:r>
      <w:r w:rsidRPr="00942660">
        <w:rPr>
          <w:sz w:val="22"/>
          <w:szCs w:val="22"/>
        </w:rPr>
        <w:t xml:space="preserve"> est indépendant des deux autres pouvoirs. Il est détenu par la </w:t>
      </w:r>
      <w:r w:rsidRPr="00942660">
        <w:rPr>
          <w:bCs/>
          <w:sz w:val="22"/>
          <w:szCs w:val="22"/>
        </w:rPr>
        <w:t>Cour constitutionnelle</w:t>
      </w:r>
      <w:r>
        <w:rPr>
          <w:bCs/>
          <w:sz w:val="22"/>
          <w:szCs w:val="22"/>
        </w:rPr>
        <w:t xml:space="preserve">, la </w:t>
      </w:r>
      <w:r w:rsidRPr="00563AB1">
        <w:rPr>
          <w:bCs/>
          <w:sz w:val="22"/>
          <w:szCs w:val="22"/>
        </w:rPr>
        <w:t>Cour de cassation, le Conseil d’Etat, la Cour des Comptes, les Cours et tribunaux.</w:t>
      </w:r>
      <w:r>
        <w:rPr>
          <w:sz w:val="22"/>
          <w:szCs w:val="22"/>
        </w:rPr>
        <w:t xml:space="preserve"> L</w:t>
      </w:r>
      <w:r w:rsidRPr="00942660">
        <w:rPr>
          <w:sz w:val="22"/>
          <w:szCs w:val="22"/>
        </w:rPr>
        <w:t xml:space="preserve">a </w:t>
      </w:r>
      <w:r w:rsidRPr="00942660">
        <w:rPr>
          <w:bCs/>
          <w:sz w:val="22"/>
          <w:szCs w:val="22"/>
        </w:rPr>
        <w:t>Cour constitutionnelle</w:t>
      </w:r>
      <w:r w:rsidRPr="00942660">
        <w:rPr>
          <w:sz w:val="22"/>
          <w:szCs w:val="22"/>
        </w:rPr>
        <w:t xml:space="preserve"> est composée de sept membres nommés pour six ans par décret du président de la République. Le Président de la Cour est élu par ses pairs pour une durée de trois ans renouvelables. Les membres de la Cour sont renouvelés par tiers tous les deux ans. Ils sont inamovibles pendant la </w:t>
      </w:r>
      <w:r w:rsidRPr="00942660">
        <w:rPr>
          <w:sz w:val="22"/>
          <w:szCs w:val="22"/>
        </w:rPr>
        <w:lastRenderedPageBreak/>
        <w:t>durée de leur mandat non reconductible. La Cour est chargée de statuer sur la constitutionnalité des lois, des ordonnances ainsi que sur la conformité des traités et accords internationaux. Elle interprète les dispositions de la Constitution, contrôle la régularité, la transparence et la sincérité des référendums ainsi que des élections présidentielles et législatives. La Cour est juge du contentieux électoral et proclame les résultats définitifs des élections. Ses décisions s’imposent aux pouvoirs publics et à toutes les autorités administratives et juridictionnelles.</w:t>
      </w:r>
    </w:p>
    <w:p w14:paraId="55A39300" w14:textId="7C9385B4" w:rsidR="0028280C" w:rsidRPr="00942660" w:rsidRDefault="0028280C" w:rsidP="0028280C">
      <w:pPr>
        <w:pStyle w:val="NormalWeb"/>
        <w:jc w:val="both"/>
        <w:rPr>
          <w:sz w:val="22"/>
          <w:szCs w:val="22"/>
        </w:rPr>
      </w:pPr>
      <w:r w:rsidRPr="00942660">
        <w:rPr>
          <w:sz w:val="22"/>
          <w:szCs w:val="22"/>
        </w:rPr>
        <w:t xml:space="preserve">La </w:t>
      </w:r>
      <w:r w:rsidRPr="00942660">
        <w:rPr>
          <w:b/>
          <w:bCs/>
          <w:sz w:val="22"/>
          <w:szCs w:val="22"/>
        </w:rPr>
        <w:t>Commission nationale des Droits humains</w:t>
      </w:r>
      <w:r w:rsidRPr="00942660">
        <w:rPr>
          <w:sz w:val="22"/>
          <w:szCs w:val="22"/>
        </w:rPr>
        <w:t xml:space="preserve"> (CNDH) veille « à la promotion et à l’effectivité des Droits de la personne humaine et des libertés</w:t>
      </w:r>
      <w:r>
        <w:rPr>
          <w:sz w:val="22"/>
          <w:szCs w:val="22"/>
        </w:rPr>
        <w:t xml:space="preserve"> fondamentales </w:t>
      </w:r>
      <w:r w:rsidRPr="00942660">
        <w:rPr>
          <w:sz w:val="22"/>
          <w:szCs w:val="22"/>
        </w:rPr>
        <w:t xml:space="preserve">conformément aux accords internationaux souscrits par le Niger ». La Commission est indépendante, apolitique et </w:t>
      </w:r>
      <w:r w:rsidR="00D348DF">
        <w:rPr>
          <w:sz w:val="22"/>
          <w:szCs w:val="22"/>
        </w:rPr>
        <w:t>composé de</w:t>
      </w:r>
      <w:r w:rsidRPr="00942660">
        <w:rPr>
          <w:sz w:val="22"/>
          <w:szCs w:val="22"/>
        </w:rPr>
        <w:t xml:space="preserve"> </w:t>
      </w:r>
      <w:r w:rsidR="00D348DF">
        <w:rPr>
          <w:sz w:val="22"/>
          <w:szCs w:val="22"/>
        </w:rPr>
        <w:t>neuf commissaires représentant</w:t>
      </w:r>
      <w:r w:rsidR="00D348DF" w:rsidRPr="00942660">
        <w:rPr>
          <w:sz w:val="22"/>
          <w:szCs w:val="22"/>
        </w:rPr>
        <w:t xml:space="preserve"> </w:t>
      </w:r>
      <w:r w:rsidR="00D348DF">
        <w:rPr>
          <w:sz w:val="22"/>
          <w:szCs w:val="22"/>
        </w:rPr>
        <w:t>des couches socio-professionnelles</w:t>
      </w:r>
      <w:r w:rsidR="00D348DF" w:rsidRPr="00942660">
        <w:rPr>
          <w:sz w:val="22"/>
          <w:szCs w:val="22"/>
        </w:rPr>
        <w:t xml:space="preserve"> </w:t>
      </w:r>
      <w:r w:rsidRPr="00942660">
        <w:rPr>
          <w:sz w:val="22"/>
          <w:szCs w:val="22"/>
        </w:rPr>
        <w:t>de la société nigérienne</w:t>
      </w:r>
      <w:r w:rsidR="00D348DF">
        <w:rPr>
          <w:sz w:val="22"/>
          <w:szCs w:val="22"/>
        </w:rPr>
        <w:t>. Cette représentativité traduit le</w:t>
      </w:r>
      <w:r w:rsidRPr="00942660">
        <w:rPr>
          <w:sz w:val="22"/>
          <w:szCs w:val="22"/>
        </w:rPr>
        <w:t xml:space="preserve"> souci d’équité et de neutralité.</w:t>
      </w:r>
    </w:p>
    <w:p w14:paraId="7F4B4B53" w14:textId="77777777" w:rsidR="0028280C" w:rsidRPr="00942660" w:rsidRDefault="0028280C" w:rsidP="0028280C">
      <w:pPr>
        <w:pStyle w:val="NormalWeb"/>
        <w:jc w:val="both"/>
        <w:rPr>
          <w:sz w:val="22"/>
          <w:szCs w:val="22"/>
        </w:rPr>
      </w:pPr>
      <w:r w:rsidRPr="00942660">
        <w:rPr>
          <w:sz w:val="22"/>
          <w:szCs w:val="22"/>
        </w:rPr>
        <w:t xml:space="preserve">Le </w:t>
      </w:r>
      <w:r w:rsidRPr="00942660">
        <w:rPr>
          <w:bCs/>
          <w:sz w:val="22"/>
          <w:szCs w:val="22"/>
        </w:rPr>
        <w:t>multipartisme</w:t>
      </w:r>
      <w:r w:rsidRPr="00942660">
        <w:rPr>
          <w:sz w:val="22"/>
          <w:szCs w:val="22"/>
        </w:rPr>
        <w:t xml:space="preserve"> a été introduit au Niger en 1991. Trente ans plus tard, à ce jour, le pays compte </w:t>
      </w:r>
      <w:hyperlink r:id="rId23" w:history="1">
        <w:r w:rsidRPr="00942660">
          <w:rPr>
            <w:rStyle w:val="Lienhypertexte"/>
            <w:sz w:val="22"/>
            <w:szCs w:val="22"/>
          </w:rPr>
          <w:t>163 partis politiques</w:t>
        </w:r>
      </w:hyperlink>
      <w:r w:rsidRPr="00942660">
        <w:rPr>
          <w:sz w:val="22"/>
          <w:szCs w:val="22"/>
        </w:rPr>
        <w:t xml:space="preserve"> reconnus dont 18 représentés à l’Assemblée Nationale assurant ainsi l’inclusivité et la représentativité de toutes les tendances politiques. Un </w:t>
      </w:r>
      <w:hyperlink r:id="rId24" w:history="1">
        <w:r w:rsidRPr="00942660">
          <w:rPr>
            <w:rStyle w:val="Lienhypertexte"/>
            <w:b/>
            <w:bCs/>
            <w:sz w:val="22"/>
            <w:szCs w:val="22"/>
          </w:rPr>
          <w:t>statut de l’opposition</w:t>
        </w:r>
      </w:hyperlink>
      <w:r w:rsidRPr="00942660">
        <w:rPr>
          <w:sz w:val="22"/>
          <w:szCs w:val="22"/>
        </w:rPr>
        <w:t xml:space="preserve"> clarifiant les droits et devoir de l’opposition a été adopté en 2010 pendant la transition parallèlement à la </w:t>
      </w:r>
      <w:r w:rsidRPr="00942660">
        <w:rPr>
          <w:bCs/>
          <w:sz w:val="22"/>
          <w:szCs w:val="22"/>
        </w:rPr>
        <w:t>charte des partis politiques</w:t>
      </w:r>
      <w:r w:rsidRPr="00942660">
        <w:rPr>
          <w:sz w:val="22"/>
          <w:szCs w:val="22"/>
        </w:rPr>
        <w:t>. Le 24 mai 2019, les députés ont modifié la charte pour conférer un statut légal aux partis non-affiliés (art. 51) à côté de la majorité et de l’opposition</w:t>
      </w:r>
      <w:r w:rsidRPr="00942660">
        <w:rPr>
          <w:rStyle w:val="Appelnotedebasdep"/>
          <w:sz w:val="22"/>
          <w:szCs w:val="22"/>
        </w:rPr>
        <w:footnoteReference w:id="6"/>
      </w:r>
      <w:r w:rsidRPr="00942660">
        <w:rPr>
          <w:sz w:val="22"/>
          <w:szCs w:val="22"/>
        </w:rPr>
        <w:t>.</w:t>
      </w:r>
    </w:p>
    <w:p w14:paraId="0695B7AD" w14:textId="77777777" w:rsidR="0028280C" w:rsidRPr="00942660" w:rsidRDefault="0028280C" w:rsidP="0028280C">
      <w:pPr>
        <w:pStyle w:val="NormalWeb"/>
        <w:jc w:val="both"/>
        <w:rPr>
          <w:sz w:val="22"/>
          <w:szCs w:val="22"/>
        </w:rPr>
      </w:pPr>
      <w:r w:rsidRPr="00942660">
        <w:rPr>
          <w:sz w:val="22"/>
          <w:szCs w:val="22"/>
        </w:rPr>
        <w:t xml:space="preserve">S’agissant du </w:t>
      </w:r>
      <w:r w:rsidRPr="00942660">
        <w:rPr>
          <w:bCs/>
          <w:sz w:val="22"/>
          <w:szCs w:val="22"/>
        </w:rPr>
        <w:t>processus électoral,</w:t>
      </w:r>
      <w:r w:rsidRPr="00942660">
        <w:rPr>
          <w:b/>
          <w:bCs/>
          <w:sz w:val="22"/>
          <w:szCs w:val="22"/>
        </w:rPr>
        <w:t xml:space="preserve"> </w:t>
      </w:r>
      <w:r w:rsidRPr="00942660">
        <w:rPr>
          <w:sz w:val="22"/>
          <w:szCs w:val="22"/>
        </w:rPr>
        <w:t xml:space="preserve">sa transparence et son inclusivité sont assurées à travers le respect de quatre principes transposés dans le code électoral en ses articles 68, 85 et 156. Ces principes visent à garantir l’universalité des suffrages, la liberté des choix des électeurs, le secret du vote et la sincérité des résultats. Les </w:t>
      </w:r>
      <w:r w:rsidRPr="00942660">
        <w:rPr>
          <w:bCs/>
          <w:sz w:val="22"/>
          <w:szCs w:val="22"/>
        </w:rPr>
        <w:t>élections générales de 2020-2021</w:t>
      </w:r>
      <w:r w:rsidRPr="00942660">
        <w:rPr>
          <w:sz w:val="22"/>
          <w:szCs w:val="22"/>
        </w:rPr>
        <w:t xml:space="preserve"> décrites par les observateurs locaux et internationaux comme historiques et crédibles ont permis le premier transfert pacifique du pouvoir entre des présidents élus. Cependant, les élections</w:t>
      </w:r>
      <w:r w:rsidRPr="00942660">
        <w:rPr>
          <w:b/>
          <w:bCs/>
          <w:sz w:val="22"/>
          <w:szCs w:val="22"/>
        </w:rPr>
        <w:t xml:space="preserve"> </w:t>
      </w:r>
      <w:r w:rsidRPr="00942660">
        <w:rPr>
          <w:sz w:val="22"/>
          <w:szCs w:val="22"/>
        </w:rPr>
        <w:t xml:space="preserve">ont aussi accentué la polarisation politique au Niger. Depuis les élections de 2016, le dialogue politique entre la majorité présidentielle et l’opposition est rompu et marqué par la non-participation de l'opposition au CNDP et à la CENI. </w:t>
      </w:r>
      <w:r>
        <w:rPr>
          <w:sz w:val="22"/>
          <w:szCs w:val="22"/>
        </w:rPr>
        <w:t>La rupture de dialogue politique est induite par une f</w:t>
      </w:r>
      <w:r w:rsidRPr="00AA74D5">
        <w:rPr>
          <w:sz w:val="22"/>
          <w:szCs w:val="22"/>
        </w:rPr>
        <w:t>aiblesse des institutions politiques</w:t>
      </w:r>
      <w:r>
        <w:rPr>
          <w:sz w:val="22"/>
          <w:szCs w:val="22"/>
        </w:rPr>
        <w:t xml:space="preserve"> mais aussi leur insuffisante stabilité.</w:t>
      </w:r>
    </w:p>
    <w:p w14:paraId="38B41987" w14:textId="39889388" w:rsidR="0028280C" w:rsidRDefault="0028280C" w:rsidP="0028280C">
      <w:pPr>
        <w:pStyle w:val="NormalWeb"/>
        <w:jc w:val="both"/>
        <w:rPr>
          <w:color w:val="000000" w:themeColor="text1"/>
          <w:sz w:val="22"/>
          <w:szCs w:val="22"/>
        </w:rPr>
      </w:pPr>
      <w:r>
        <w:rPr>
          <w:sz w:val="22"/>
          <w:szCs w:val="22"/>
        </w:rPr>
        <w:t>En somme, la construction de l’état de droit et la démocratie</w:t>
      </w:r>
      <w:r w:rsidR="001516E2" w:rsidRPr="001516E2">
        <w:rPr>
          <w:sz w:val="22"/>
          <w:szCs w:val="22"/>
        </w:rPr>
        <w:t xml:space="preserve"> </w:t>
      </w:r>
      <w:r w:rsidR="001516E2">
        <w:rPr>
          <w:sz w:val="22"/>
          <w:szCs w:val="22"/>
        </w:rPr>
        <w:t>le Niger a incontestablement enregistré des progrès notables</w:t>
      </w:r>
      <w:r>
        <w:rPr>
          <w:sz w:val="22"/>
          <w:szCs w:val="22"/>
        </w:rPr>
        <w:t xml:space="preserve">. Mais, le pays doit encore consentir beaucoup d’efforts dans la promotion des droits humains consacrés par les instruments internationaux et régionaux ainsi que par la constitution. </w:t>
      </w:r>
      <w:r w:rsidRPr="00942660">
        <w:rPr>
          <w:sz w:val="22"/>
          <w:szCs w:val="22"/>
        </w:rPr>
        <w:t xml:space="preserve">En 2020, </w:t>
      </w:r>
      <w:r w:rsidRPr="00942660">
        <w:rPr>
          <w:bCs/>
          <w:sz w:val="22"/>
          <w:szCs w:val="22"/>
        </w:rPr>
        <w:t>l’index IIAG de Mo Ibrahim</w:t>
      </w:r>
      <w:r w:rsidRPr="00942660">
        <w:rPr>
          <w:sz w:val="22"/>
          <w:szCs w:val="22"/>
        </w:rPr>
        <w:t xml:space="preserve"> a crédité le Niger de 47,8 points sur 100 tandis que la moyenne africaine se situe à 48,8 points. La progression du Niger en 10 ans est de 0,4 point sur l’indice global. Cette stabilité apparente de l’indicateur synthétique dissimule cependant des succès contradictoires au sein de ses composantes. Il est observé que la composante 2) sur les droits humains a perdu 7,2 points sur 100 en dix ans, situation qui neutralise les progrès réalisés sur la même période en matière d’opportunités économiques (+2,8 points sur la composante 3) et de développement humain (+6,3 points sur la composante 3). La composante 1) relative à la sécurité et l’état de droit a quant à elle connu un léger recul de 0,4 points en 10 ans. En effet, l’accès à la justice demeure faible</w:t>
      </w:r>
      <w:r w:rsidRPr="00942660">
        <w:rPr>
          <w:color w:val="000000" w:themeColor="text1"/>
          <w:sz w:val="22"/>
          <w:szCs w:val="22"/>
        </w:rPr>
        <w:t xml:space="preserve"> notamment au niveau local (un juge pour 50 065 habitants en 2016 contre une norme de 1 pour 20 000). On note également des retards dans le traitement des affaires judiciaires (2 à 4 ans)</w:t>
      </w:r>
      <w:r w:rsidR="001516E2">
        <w:rPr>
          <w:color w:val="000000" w:themeColor="text1"/>
          <w:sz w:val="22"/>
          <w:szCs w:val="22"/>
        </w:rPr>
        <w:t>.</w:t>
      </w:r>
      <w:r w:rsidRPr="00942660">
        <w:rPr>
          <w:color w:val="000000" w:themeColor="text1"/>
          <w:sz w:val="22"/>
          <w:szCs w:val="22"/>
        </w:rPr>
        <w:t xml:space="preserve"> </w:t>
      </w:r>
    </w:p>
    <w:p w14:paraId="704413ED" w14:textId="77777777" w:rsidR="0028280C" w:rsidRPr="009E1DAA" w:rsidRDefault="0028280C" w:rsidP="0028280C">
      <w:pPr>
        <w:pStyle w:val="NormalWeb"/>
        <w:pBdr>
          <w:top w:val="single" w:sz="4" w:space="1" w:color="auto"/>
          <w:left w:val="single" w:sz="4" w:space="4" w:color="auto"/>
          <w:bottom w:val="single" w:sz="4" w:space="1" w:color="auto"/>
          <w:right w:val="single" w:sz="4" w:space="4" w:color="auto"/>
        </w:pBdr>
        <w:shd w:val="clear" w:color="auto" w:fill="92D050"/>
        <w:jc w:val="both"/>
        <w:rPr>
          <w:color w:val="000000" w:themeColor="text1"/>
          <w:sz w:val="22"/>
          <w:szCs w:val="22"/>
        </w:rPr>
      </w:pPr>
      <w:r>
        <w:rPr>
          <w:color w:val="000000" w:themeColor="text1"/>
          <w:sz w:val="22"/>
          <w:szCs w:val="22"/>
        </w:rPr>
        <w:t>L’analyse causale de la gouvernance politique a mis en lumière le problème central suivant </w:t>
      </w:r>
      <w:r w:rsidRPr="00A3768F">
        <w:rPr>
          <w:b/>
          <w:i/>
          <w:color w:val="000000" w:themeColor="text1"/>
        </w:rPr>
        <w:t xml:space="preserve">: Le faible respect du cadre légal et règlementaire. </w:t>
      </w:r>
      <w:r>
        <w:rPr>
          <w:color w:val="000000" w:themeColor="text1"/>
          <w:sz w:val="22"/>
          <w:szCs w:val="22"/>
        </w:rPr>
        <w:t>Ce problème est imputable aux principales causes suivantes </w:t>
      </w:r>
      <w:r w:rsidRPr="00A3768F">
        <w:rPr>
          <w:i/>
          <w:color w:val="000000" w:themeColor="text1"/>
          <w:sz w:val="22"/>
          <w:szCs w:val="22"/>
        </w:rPr>
        <w:t xml:space="preserve">:   La faible connaissance des textes par les titulaires et les détenteurs du droit ; La persistance de l'incivisme ; Le faible dispositif de contrôle ; La </w:t>
      </w:r>
      <w:r>
        <w:rPr>
          <w:i/>
          <w:color w:val="000000" w:themeColor="text1"/>
          <w:sz w:val="22"/>
          <w:szCs w:val="22"/>
        </w:rPr>
        <w:t>f</w:t>
      </w:r>
      <w:r w:rsidRPr="00A3768F">
        <w:rPr>
          <w:i/>
          <w:color w:val="000000" w:themeColor="text1"/>
          <w:sz w:val="22"/>
          <w:szCs w:val="22"/>
        </w:rPr>
        <w:t xml:space="preserve">aible capacité des citoyens à faire prévaloir leur droits ;  La faible vulgarisation des textes (Lois, Ordonnances, Décrets, Arrêtés, etc.) ; La faiblesse des institutions politiques (faible représentation au niveau local, insuffisance des moyens) ; </w:t>
      </w:r>
      <w:r w:rsidRPr="00A3768F">
        <w:rPr>
          <w:i/>
          <w:color w:val="000000" w:themeColor="text1"/>
          <w:sz w:val="22"/>
          <w:szCs w:val="22"/>
        </w:rPr>
        <w:lastRenderedPageBreak/>
        <w:t>La persistance des barrières culturelles ; La faiblesse du dialogue politique à tous les niveaux Stabilité et pérennité insuffisantes des Institutions républicaines</w:t>
      </w:r>
      <w:r>
        <w:rPr>
          <w:color w:val="000000" w:themeColor="text1"/>
          <w:sz w:val="22"/>
          <w:szCs w:val="22"/>
        </w:rPr>
        <w:t>.</w:t>
      </w:r>
      <w:bookmarkStart w:id="69" w:name="_Toc84789668"/>
      <w:r>
        <w:rPr>
          <w:color w:val="000000" w:themeColor="text1"/>
          <w:sz w:val="22"/>
          <w:szCs w:val="22"/>
        </w:rPr>
        <w:t xml:space="preserve"> </w:t>
      </w:r>
    </w:p>
    <w:p w14:paraId="7EBD5AAA" w14:textId="77777777" w:rsidR="0028280C" w:rsidRPr="00E25B1F" w:rsidRDefault="0028280C" w:rsidP="00E25B1F">
      <w:pPr>
        <w:pStyle w:val="Titre3"/>
        <w:rPr>
          <w:rFonts w:ascii="Bernard MT Condensed" w:hAnsi="Bernard MT Condensed"/>
        </w:rPr>
      </w:pPr>
      <w:bookmarkStart w:id="70" w:name="_Toc86687716"/>
      <w:bookmarkStart w:id="71" w:name="_Toc89479396"/>
      <w:bookmarkStart w:id="72" w:name="_Toc89480893"/>
      <w:bookmarkStart w:id="73" w:name="_Toc94480135"/>
      <w:bookmarkStart w:id="74" w:name="_Toc94481796"/>
      <w:bookmarkStart w:id="75" w:name="_Toc94482059"/>
      <w:r w:rsidRPr="00E25B1F">
        <w:rPr>
          <w:rFonts w:ascii="Bernard MT Condensed" w:hAnsi="Bernard MT Condensed"/>
        </w:rPr>
        <w:t>I.3.2 - Etat des lieux de la gouvernance sécuritaire</w:t>
      </w:r>
      <w:bookmarkEnd w:id="69"/>
      <w:bookmarkEnd w:id="70"/>
      <w:bookmarkEnd w:id="71"/>
      <w:bookmarkEnd w:id="72"/>
      <w:bookmarkEnd w:id="73"/>
      <w:bookmarkEnd w:id="74"/>
      <w:bookmarkEnd w:id="75"/>
      <w:r w:rsidRPr="00E25B1F">
        <w:rPr>
          <w:rFonts w:ascii="Bernard MT Condensed" w:hAnsi="Bernard MT Condensed"/>
        </w:rPr>
        <w:t xml:space="preserve"> </w:t>
      </w:r>
    </w:p>
    <w:p w14:paraId="6A4738D9" w14:textId="73FFB7EF" w:rsidR="0028280C" w:rsidRPr="00364977" w:rsidRDefault="0028280C" w:rsidP="00422503">
      <w:pPr>
        <w:pStyle w:val="Titre3"/>
        <w:jc w:val="both"/>
        <w:rPr>
          <w:rFonts w:ascii="Times New Roman" w:hAnsi="Times New Roman" w:cs="Times New Roman"/>
          <w:color w:val="auto"/>
          <w:sz w:val="22"/>
          <w:szCs w:val="22"/>
        </w:rPr>
      </w:pPr>
      <w:bookmarkStart w:id="76" w:name="_Toc89479397"/>
      <w:bookmarkStart w:id="77" w:name="_Toc89480894"/>
      <w:bookmarkStart w:id="78" w:name="_Toc94480136"/>
      <w:bookmarkStart w:id="79" w:name="_Toc94481797"/>
      <w:bookmarkStart w:id="80" w:name="_Toc94482060"/>
      <w:r w:rsidRPr="009E1DAA">
        <w:rPr>
          <w:rFonts w:ascii="Times New Roman" w:hAnsi="Times New Roman" w:cs="Times New Roman"/>
          <w:color w:val="000000" w:themeColor="text1"/>
          <w:sz w:val="22"/>
          <w:szCs w:val="22"/>
        </w:rPr>
        <w:t>La sécurité des personnes et des biens constitue un droit fondamental garanti par la constitution. L’article 11 dispose que « </w:t>
      </w:r>
      <w:r w:rsidRPr="00422503">
        <w:rPr>
          <w:rFonts w:ascii="Times New Roman" w:hAnsi="Times New Roman" w:cs="Times New Roman"/>
          <w:i/>
          <w:color w:val="000000" w:themeColor="text1"/>
          <w:sz w:val="22"/>
          <w:szCs w:val="22"/>
        </w:rPr>
        <w:t>La personne humaine est sacrée. L'Etat a l'obligation absolue de la respecter et de la protéger </w:t>
      </w:r>
      <w:r w:rsidRPr="009E1DAA">
        <w:rPr>
          <w:rFonts w:ascii="Times New Roman" w:hAnsi="Times New Roman" w:cs="Times New Roman"/>
          <w:color w:val="000000" w:themeColor="text1"/>
          <w:sz w:val="22"/>
          <w:szCs w:val="22"/>
        </w:rPr>
        <w:t>». L’article stipule que « </w:t>
      </w:r>
      <w:r w:rsidRPr="00422503">
        <w:rPr>
          <w:rFonts w:ascii="Times New Roman" w:hAnsi="Times New Roman" w:cs="Times New Roman"/>
          <w:i/>
          <w:color w:val="000000" w:themeColor="text1"/>
          <w:sz w:val="22"/>
          <w:szCs w:val="22"/>
        </w:rPr>
        <w:t>… Chacun a droit à la vie … Chacun a droit à la liberté et à la sécurité dans les conditions définies par la loi</w:t>
      </w:r>
      <w:r w:rsidR="00422503">
        <w:rPr>
          <w:rFonts w:ascii="Times New Roman" w:hAnsi="Times New Roman" w:cs="Times New Roman"/>
          <w:color w:val="000000" w:themeColor="text1"/>
          <w:sz w:val="22"/>
          <w:szCs w:val="22"/>
        </w:rPr>
        <w:t> ». Cependant, depuis 20</w:t>
      </w:r>
      <w:r w:rsidRPr="009E1DAA">
        <w:rPr>
          <w:rFonts w:ascii="Times New Roman" w:hAnsi="Times New Roman" w:cs="Times New Roman"/>
          <w:color w:val="000000" w:themeColor="text1"/>
          <w:sz w:val="22"/>
          <w:szCs w:val="22"/>
        </w:rPr>
        <w:t>1</w:t>
      </w:r>
      <w:r w:rsidRPr="009E1DAA">
        <w:rPr>
          <w:rFonts w:ascii="Times New Roman" w:hAnsi="Times New Roman" w:cs="Times New Roman"/>
          <w:color w:val="000000" w:themeColor="text1"/>
        </w:rPr>
        <w:footnoteReference w:id="7"/>
      </w:r>
      <w:r w:rsidRPr="009E1DAA">
        <w:rPr>
          <w:rFonts w:ascii="Times New Roman" w:hAnsi="Times New Roman" w:cs="Times New Roman"/>
          <w:color w:val="000000" w:themeColor="text1"/>
          <w:sz w:val="22"/>
          <w:szCs w:val="22"/>
        </w:rPr>
        <w:t>, le Niger particulièrement les régions de Diffa, Tillaberi</w:t>
      </w:r>
      <w:r w:rsidR="007430D7">
        <w:rPr>
          <w:rFonts w:ascii="Times New Roman" w:hAnsi="Times New Roman" w:cs="Times New Roman"/>
          <w:color w:val="000000" w:themeColor="text1"/>
          <w:sz w:val="22"/>
          <w:szCs w:val="22"/>
        </w:rPr>
        <w:t>, Dosso</w:t>
      </w:r>
      <w:r w:rsidRPr="009E1DAA">
        <w:rPr>
          <w:rFonts w:ascii="Times New Roman" w:hAnsi="Times New Roman" w:cs="Times New Roman"/>
          <w:color w:val="000000" w:themeColor="text1"/>
          <w:sz w:val="22"/>
          <w:szCs w:val="22"/>
        </w:rPr>
        <w:t xml:space="preserve"> et Tahoua le long de la frontière avec le Mali font face aux attaques récurrentes perpétrées par des groupes </w:t>
      </w:r>
      <w:r w:rsidRPr="00364977">
        <w:rPr>
          <w:rFonts w:ascii="Times New Roman" w:hAnsi="Times New Roman" w:cs="Times New Roman"/>
          <w:color w:val="auto"/>
          <w:sz w:val="22"/>
          <w:szCs w:val="22"/>
        </w:rPr>
        <w:t>armés extrémistes violents. Les populations, les forces de défense et de sécurité et le personnel des institutions publiques subissent de</w:t>
      </w:r>
      <w:r w:rsidR="00422503" w:rsidRPr="00364977">
        <w:rPr>
          <w:rFonts w:ascii="Times New Roman" w:hAnsi="Times New Roman" w:cs="Times New Roman"/>
          <w:color w:val="auto"/>
          <w:sz w:val="22"/>
          <w:szCs w:val="22"/>
        </w:rPr>
        <w:t>s violences inouïes telles que l</w:t>
      </w:r>
      <w:r w:rsidRPr="00364977">
        <w:rPr>
          <w:rFonts w:ascii="Times New Roman" w:hAnsi="Times New Roman" w:cs="Times New Roman"/>
          <w:color w:val="auto"/>
          <w:sz w:val="22"/>
          <w:szCs w:val="22"/>
        </w:rPr>
        <w:t xml:space="preserve">es homicides, la destruction des maisons, le vol ou le massacre du bétail, l’imposition de la dîme, l’utilisation des Engins Explosifs Improvises/EEI, les enlèvements, les atteintes à l’intégrité physique qui constituent de graves violations des droits de l’homme. </w:t>
      </w:r>
      <w:bookmarkEnd w:id="76"/>
      <w:bookmarkEnd w:id="77"/>
      <w:bookmarkEnd w:id="78"/>
      <w:bookmarkEnd w:id="79"/>
      <w:bookmarkEnd w:id="80"/>
    </w:p>
    <w:p w14:paraId="495CD9BD" w14:textId="77777777" w:rsidR="0028280C" w:rsidRDefault="0028280C" w:rsidP="0028280C">
      <w:pPr>
        <w:pStyle w:val="NormalWeb"/>
        <w:jc w:val="both"/>
        <w:rPr>
          <w:sz w:val="22"/>
          <w:szCs w:val="22"/>
        </w:rPr>
      </w:pPr>
      <w:r w:rsidRPr="00364977">
        <w:rPr>
          <w:sz w:val="22"/>
          <w:szCs w:val="22"/>
        </w:rPr>
        <w:t>Entre 2019 et 2021, en dépit des efforts considérables accomplis par le gouvernement, la situation sécuritaire est restée volatile. Selon le rapport UNISS</w:t>
      </w:r>
      <w:r w:rsidRPr="00364977">
        <w:rPr>
          <w:rStyle w:val="Appelnotedebasdep"/>
          <w:sz w:val="22"/>
          <w:szCs w:val="22"/>
        </w:rPr>
        <w:footnoteReference w:id="8"/>
      </w:r>
      <w:r w:rsidRPr="00364977">
        <w:rPr>
          <w:sz w:val="22"/>
          <w:szCs w:val="22"/>
        </w:rPr>
        <w:t xml:space="preserve">, « le contexte sécuritaire de la région du Sahel en 2020 a été caractérisé par une montée en puissance </w:t>
      </w:r>
      <w:r w:rsidRPr="00F83EBF">
        <w:rPr>
          <w:sz w:val="22"/>
          <w:szCs w:val="22"/>
        </w:rPr>
        <w:t>des efforts militaires nationaux, régionaux et internationaux pour endiguer les menaces terroristes au Sahel et reprendre le contrôle du territoire. Néanmoins, les groupes armés ont continué à perpétrer des actes violents, procéder à des recrutements forcés et à des enlèvements, notamment au Burkina Faso, au Mali, au Niger et au Nigeria</w:t>
      </w:r>
      <w:r w:rsidRPr="006B0762">
        <w:t xml:space="preserve"> </w:t>
      </w:r>
      <w:r w:rsidRPr="006B0762">
        <w:rPr>
          <w:sz w:val="22"/>
          <w:szCs w:val="22"/>
        </w:rPr>
        <w:t>engendrant</w:t>
      </w:r>
      <w:r>
        <w:rPr>
          <w:sz w:val="22"/>
          <w:szCs w:val="22"/>
        </w:rPr>
        <w:t xml:space="preserve"> ainsi de nombreux déplacements forcés. </w:t>
      </w:r>
      <w:r w:rsidRPr="00F83EBF">
        <w:rPr>
          <w:sz w:val="22"/>
          <w:szCs w:val="22"/>
        </w:rPr>
        <w:t>Les évolutions récentes mettent en évidence des liens croissants entre les groupes terroristes et les bandes criminelles, ainsi qu’une augmentation de la violence contre les civils et les forces de sécurité</w:t>
      </w:r>
      <w:r>
        <w:rPr>
          <w:sz w:val="22"/>
          <w:szCs w:val="22"/>
        </w:rPr>
        <w:t xml:space="preserve"> ». </w:t>
      </w:r>
    </w:p>
    <w:p w14:paraId="0A19F9A3" w14:textId="77777777" w:rsidR="0028280C" w:rsidRDefault="0028280C" w:rsidP="0028280C">
      <w:pPr>
        <w:pStyle w:val="NormalWeb"/>
        <w:jc w:val="both"/>
        <w:rPr>
          <w:sz w:val="22"/>
          <w:szCs w:val="22"/>
        </w:rPr>
      </w:pPr>
      <w:r w:rsidRPr="005314FA">
        <w:rPr>
          <w:sz w:val="22"/>
          <w:szCs w:val="22"/>
        </w:rPr>
        <w:t xml:space="preserve">Entre janvier et juin 2021, </w:t>
      </w:r>
      <w:r>
        <w:rPr>
          <w:sz w:val="22"/>
          <w:szCs w:val="22"/>
        </w:rPr>
        <w:t>« </w:t>
      </w:r>
      <w:r w:rsidRPr="005314FA">
        <w:rPr>
          <w:sz w:val="22"/>
          <w:szCs w:val="22"/>
        </w:rPr>
        <w:t>neuf attaques conduites par des éléments présumés de groupes armés non étatiques (GANE) ont ciblé des positions des Forces de Défense et de Sécurité (FDS) respectivement à Diffa, Mainé-Soroa et Bosso, signe d’une dégradation de la situation sécuritaire le long de la frontière. 812 incidents de protection ayant affecté 1 643 personnes ont été rapportées au cours du premier trimestre de l’année 2021, dont 638 incidents pour le mois de mars.</w:t>
      </w:r>
      <w:r>
        <w:rPr>
          <w:sz w:val="22"/>
          <w:szCs w:val="22"/>
        </w:rPr>
        <w:t xml:space="preserve"> </w:t>
      </w:r>
      <w:r w:rsidRPr="005314FA">
        <w:rPr>
          <w:sz w:val="22"/>
          <w:szCs w:val="22"/>
        </w:rPr>
        <w:t>Selon les récentes estimations de la Direction de l’état civil et des réfugiés (DREC), la région de Diffa compte actuellement 269 589 personnes déplacées réparties dans 74 621 ménages. Les réfugiés nigérians représentent 47%, soit 127 233 personnes, suivis des déplacées internes, environ 39%, soit 104 588 personnes</w:t>
      </w:r>
      <w:r>
        <w:rPr>
          <w:rStyle w:val="Appelnotedebasdep"/>
          <w:sz w:val="22"/>
          <w:szCs w:val="22"/>
        </w:rPr>
        <w:footnoteReference w:id="9"/>
      </w:r>
      <w:r>
        <w:rPr>
          <w:sz w:val="22"/>
          <w:szCs w:val="22"/>
        </w:rPr>
        <w:t> »</w:t>
      </w:r>
      <w:r w:rsidRPr="005314FA">
        <w:rPr>
          <w:sz w:val="22"/>
          <w:szCs w:val="22"/>
        </w:rPr>
        <w:t>.</w:t>
      </w:r>
      <w:r>
        <w:rPr>
          <w:sz w:val="22"/>
          <w:szCs w:val="22"/>
        </w:rPr>
        <w:t xml:space="preserve"> Le tableau ci-dessous présente l’évolution des incidents de protection de janvier à octobre 2021 pour les quatre régions (Tillabéri, Maradi, Tahoua et Diffa) affectées par l’insécurité.</w:t>
      </w:r>
    </w:p>
    <w:tbl>
      <w:tblPr>
        <w:tblStyle w:val="Grilledutableau"/>
        <w:tblW w:w="9140" w:type="dxa"/>
        <w:tblLook w:val="0600" w:firstRow="0" w:lastRow="0" w:firstColumn="0" w:lastColumn="0" w:noHBand="1" w:noVBand="1"/>
      </w:tblPr>
      <w:tblGrid>
        <w:gridCol w:w="1591"/>
        <w:gridCol w:w="1591"/>
        <w:gridCol w:w="1590"/>
        <w:gridCol w:w="1590"/>
        <w:gridCol w:w="1590"/>
        <w:gridCol w:w="1188"/>
      </w:tblGrid>
      <w:tr w:rsidR="0028280C" w:rsidRPr="00F65844" w14:paraId="2B1ADFFB" w14:textId="77777777" w:rsidTr="00E43F48">
        <w:trPr>
          <w:trHeight w:val="345"/>
        </w:trPr>
        <w:tc>
          <w:tcPr>
            <w:tcW w:w="1591" w:type="dxa"/>
            <w:hideMark/>
          </w:tcPr>
          <w:p w14:paraId="218A8AC1" w14:textId="77777777" w:rsidR="0028280C" w:rsidRPr="00F65844" w:rsidRDefault="0028280C" w:rsidP="00E43F48">
            <w:pPr>
              <w:pStyle w:val="NormalWeb"/>
              <w:jc w:val="both"/>
            </w:pPr>
            <w:r w:rsidRPr="00F65844">
              <w:t>Mois</w:t>
            </w:r>
          </w:p>
        </w:tc>
        <w:tc>
          <w:tcPr>
            <w:tcW w:w="1591" w:type="dxa"/>
            <w:hideMark/>
          </w:tcPr>
          <w:p w14:paraId="5AF9CBDA" w14:textId="77777777" w:rsidR="0028280C" w:rsidRPr="00F65844" w:rsidRDefault="0028280C" w:rsidP="00E43F48">
            <w:pPr>
              <w:pStyle w:val="NormalWeb"/>
              <w:jc w:val="both"/>
            </w:pPr>
            <w:r w:rsidRPr="00F65844">
              <w:t>Tillaberi</w:t>
            </w:r>
          </w:p>
        </w:tc>
        <w:tc>
          <w:tcPr>
            <w:tcW w:w="1590" w:type="dxa"/>
            <w:hideMark/>
          </w:tcPr>
          <w:p w14:paraId="3C0E5DCF" w14:textId="77777777" w:rsidR="0028280C" w:rsidRPr="00F65844" w:rsidRDefault="0028280C" w:rsidP="00E43F48">
            <w:pPr>
              <w:pStyle w:val="NormalWeb"/>
              <w:jc w:val="both"/>
            </w:pPr>
            <w:r w:rsidRPr="00F65844">
              <w:t>Tahoua</w:t>
            </w:r>
          </w:p>
        </w:tc>
        <w:tc>
          <w:tcPr>
            <w:tcW w:w="1590" w:type="dxa"/>
            <w:hideMark/>
          </w:tcPr>
          <w:p w14:paraId="0E31B275" w14:textId="77777777" w:rsidR="0028280C" w:rsidRPr="00F65844" w:rsidRDefault="0028280C" w:rsidP="00E43F48">
            <w:pPr>
              <w:pStyle w:val="NormalWeb"/>
              <w:jc w:val="both"/>
            </w:pPr>
            <w:r w:rsidRPr="00F65844">
              <w:t>Diffa</w:t>
            </w:r>
          </w:p>
        </w:tc>
        <w:tc>
          <w:tcPr>
            <w:tcW w:w="1590" w:type="dxa"/>
            <w:hideMark/>
          </w:tcPr>
          <w:p w14:paraId="2397E755" w14:textId="77777777" w:rsidR="0028280C" w:rsidRPr="00F65844" w:rsidRDefault="0028280C" w:rsidP="00E43F48">
            <w:pPr>
              <w:pStyle w:val="NormalWeb"/>
              <w:jc w:val="both"/>
            </w:pPr>
            <w:r w:rsidRPr="00F65844">
              <w:t>Maradi</w:t>
            </w:r>
          </w:p>
        </w:tc>
        <w:tc>
          <w:tcPr>
            <w:tcW w:w="1188" w:type="dxa"/>
            <w:hideMark/>
          </w:tcPr>
          <w:p w14:paraId="15925D88" w14:textId="77777777" w:rsidR="0028280C" w:rsidRPr="00F65844" w:rsidRDefault="0028280C" w:rsidP="00E43F48">
            <w:pPr>
              <w:pStyle w:val="NormalWeb"/>
              <w:jc w:val="both"/>
            </w:pPr>
            <w:r w:rsidRPr="00F65844">
              <w:t>Total</w:t>
            </w:r>
          </w:p>
        </w:tc>
      </w:tr>
      <w:tr w:rsidR="0028280C" w:rsidRPr="00F65844" w14:paraId="080BD502" w14:textId="77777777" w:rsidTr="00E43F48">
        <w:trPr>
          <w:trHeight w:val="345"/>
        </w:trPr>
        <w:tc>
          <w:tcPr>
            <w:tcW w:w="1591" w:type="dxa"/>
            <w:hideMark/>
          </w:tcPr>
          <w:p w14:paraId="410F7527" w14:textId="77777777" w:rsidR="0028280C" w:rsidRPr="00F65844" w:rsidRDefault="0028280C" w:rsidP="00E43F48">
            <w:pPr>
              <w:pStyle w:val="NormalWeb"/>
              <w:jc w:val="both"/>
            </w:pPr>
            <w:r w:rsidRPr="00F65844">
              <w:t>Janvier</w:t>
            </w:r>
          </w:p>
        </w:tc>
        <w:tc>
          <w:tcPr>
            <w:tcW w:w="1591" w:type="dxa"/>
            <w:hideMark/>
          </w:tcPr>
          <w:p w14:paraId="090E3243" w14:textId="77777777" w:rsidR="0028280C" w:rsidRPr="00F65844" w:rsidRDefault="0028280C" w:rsidP="00E43F48">
            <w:pPr>
              <w:pStyle w:val="NormalWeb"/>
              <w:jc w:val="both"/>
            </w:pPr>
            <w:r w:rsidRPr="00F65844">
              <w:t>50</w:t>
            </w:r>
          </w:p>
        </w:tc>
        <w:tc>
          <w:tcPr>
            <w:tcW w:w="1590" w:type="dxa"/>
            <w:hideMark/>
          </w:tcPr>
          <w:p w14:paraId="00AAE6B2" w14:textId="77777777" w:rsidR="0028280C" w:rsidRPr="00F65844" w:rsidRDefault="0028280C" w:rsidP="00E43F48">
            <w:pPr>
              <w:pStyle w:val="NormalWeb"/>
              <w:jc w:val="both"/>
            </w:pPr>
            <w:r w:rsidRPr="00F65844">
              <w:t>77</w:t>
            </w:r>
          </w:p>
        </w:tc>
        <w:tc>
          <w:tcPr>
            <w:tcW w:w="1590" w:type="dxa"/>
            <w:hideMark/>
          </w:tcPr>
          <w:p w14:paraId="3760F08A" w14:textId="77777777" w:rsidR="0028280C" w:rsidRPr="00F65844" w:rsidRDefault="0028280C" w:rsidP="00E43F48">
            <w:pPr>
              <w:pStyle w:val="NormalWeb"/>
              <w:jc w:val="both"/>
            </w:pPr>
            <w:r w:rsidRPr="00F65844">
              <w:t>53</w:t>
            </w:r>
          </w:p>
        </w:tc>
        <w:tc>
          <w:tcPr>
            <w:tcW w:w="1590" w:type="dxa"/>
            <w:hideMark/>
          </w:tcPr>
          <w:p w14:paraId="1CF8A89D" w14:textId="77777777" w:rsidR="0028280C" w:rsidRPr="00F65844" w:rsidRDefault="0028280C" w:rsidP="00E43F48">
            <w:pPr>
              <w:pStyle w:val="NormalWeb"/>
              <w:jc w:val="both"/>
            </w:pPr>
            <w:r w:rsidRPr="00F65844">
              <w:t>76</w:t>
            </w:r>
          </w:p>
        </w:tc>
        <w:tc>
          <w:tcPr>
            <w:tcW w:w="1188" w:type="dxa"/>
            <w:hideMark/>
          </w:tcPr>
          <w:p w14:paraId="0A69631C" w14:textId="77777777" w:rsidR="0028280C" w:rsidRPr="00F65844" w:rsidRDefault="0028280C" w:rsidP="00E43F48">
            <w:pPr>
              <w:pStyle w:val="NormalWeb"/>
              <w:jc w:val="both"/>
            </w:pPr>
            <w:r w:rsidRPr="00F65844">
              <w:t>256</w:t>
            </w:r>
          </w:p>
        </w:tc>
      </w:tr>
      <w:tr w:rsidR="0028280C" w:rsidRPr="00F65844" w14:paraId="2CC19ADE" w14:textId="77777777" w:rsidTr="00E43F48">
        <w:trPr>
          <w:trHeight w:val="345"/>
        </w:trPr>
        <w:tc>
          <w:tcPr>
            <w:tcW w:w="1591" w:type="dxa"/>
            <w:hideMark/>
          </w:tcPr>
          <w:p w14:paraId="48F76B2B" w14:textId="77777777" w:rsidR="0028280C" w:rsidRPr="00F65844" w:rsidRDefault="0028280C" w:rsidP="00E43F48">
            <w:pPr>
              <w:pStyle w:val="NormalWeb"/>
              <w:jc w:val="both"/>
            </w:pPr>
            <w:r w:rsidRPr="00F65844">
              <w:t>Février</w:t>
            </w:r>
          </w:p>
        </w:tc>
        <w:tc>
          <w:tcPr>
            <w:tcW w:w="1591" w:type="dxa"/>
            <w:hideMark/>
          </w:tcPr>
          <w:p w14:paraId="56D7285C" w14:textId="77777777" w:rsidR="0028280C" w:rsidRPr="00F65844" w:rsidRDefault="0028280C" w:rsidP="00E43F48">
            <w:pPr>
              <w:pStyle w:val="NormalWeb"/>
              <w:jc w:val="both"/>
            </w:pPr>
            <w:r w:rsidRPr="00F65844">
              <w:t>46</w:t>
            </w:r>
          </w:p>
        </w:tc>
        <w:tc>
          <w:tcPr>
            <w:tcW w:w="1590" w:type="dxa"/>
            <w:hideMark/>
          </w:tcPr>
          <w:p w14:paraId="1734462A" w14:textId="77777777" w:rsidR="0028280C" w:rsidRPr="00F65844" w:rsidRDefault="0028280C" w:rsidP="00E43F48">
            <w:pPr>
              <w:pStyle w:val="NormalWeb"/>
              <w:jc w:val="both"/>
            </w:pPr>
            <w:r w:rsidRPr="00F65844">
              <w:t>78</w:t>
            </w:r>
          </w:p>
        </w:tc>
        <w:tc>
          <w:tcPr>
            <w:tcW w:w="1590" w:type="dxa"/>
            <w:hideMark/>
          </w:tcPr>
          <w:p w14:paraId="4B746C95" w14:textId="77777777" w:rsidR="0028280C" w:rsidRPr="00F65844" w:rsidRDefault="0028280C" w:rsidP="00E43F48">
            <w:pPr>
              <w:pStyle w:val="NormalWeb"/>
              <w:jc w:val="both"/>
            </w:pPr>
            <w:r w:rsidRPr="00F65844">
              <w:t>54</w:t>
            </w:r>
          </w:p>
        </w:tc>
        <w:tc>
          <w:tcPr>
            <w:tcW w:w="1590" w:type="dxa"/>
            <w:hideMark/>
          </w:tcPr>
          <w:p w14:paraId="4C767A3A" w14:textId="77777777" w:rsidR="0028280C" w:rsidRPr="00F65844" w:rsidRDefault="0028280C" w:rsidP="00E43F48">
            <w:pPr>
              <w:pStyle w:val="NormalWeb"/>
              <w:jc w:val="both"/>
            </w:pPr>
            <w:r w:rsidRPr="00F65844">
              <w:t>69</w:t>
            </w:r>
          </w:p>
        </w:tc>
        <w:tc>
          <w:tcPr>
            <w:tcW w:w="1188" w:type="dxa"/>
            <w:hideMark/>
          </w:tcPr>
          <w:p w14:paraId="783BE4B3" w14:textId="77777777" w:rsidR="0028280C" w:rsidRPr="00F65844" w:rsidRDefault="0028280C" w:rsidP="00E43F48">
            <w:pPr>
              <w:pStyle w:val="NormalWeb"/>
              <w:jc w:val="both"/>
            </w:pPr>
            <w:r w:rsidRPr="00F65844">
              <w:t>247</w:t>
            </w:r>
          </w:p>
        </w:tc>
      </w:tr>
      <w:tr w:rsidR="0028280C" w:rsidRPr="00F65844" w14:paraId="6DFD263D" w14:textId="77777777" w:rsidTr="00E43F48">
        <w:trPr>
          <w:trHeight w:val="345"/>
        </w:trPr>
        <w:tc>
          <w:tcPr>
            <w:tcW w:w="1591" w:type="dxa"/>
            <w:hideMark/>
          </w:tcPr>
          <w:p w14:paraId="1A5F0999" w14:textId="77777777" w:rsidR="0028280C" w:rsidRPr="00F65844" w:rsidRDefault="0028280C" w:rsidP="00E43F48">
            <w:pPr>
              <w:pStyle w:val="NormalWeb"/>
              <w:jc w:val="both"/>
            </w:pPr>
            <w:r w:rsidRPr="00F65844">
              <w:t>Mars</w:t>
            </w:r>
          </w:p>
        </w:tc>
        <w:tc>
          <w:tcPr>
            <w:tcW w:w="1591" w:type="dxa"/>
            <w:hideMark/>
          </w:tcPr>
          <w:p w14:paraId="4AFFE8FB" w14:textId="77777777" w:rsidR="0028280C" w:rsidRPr="00F65844" w:rsidRDefault="0028280C" w:rsidP="00E43F48">
            <w:pPr>
              <w:pStyle w:val="NormalWeb"/>
              <w:jc w:val="both"/>
            </w:pPr>
            <w:r w:rsidRPr="00F65844">
              <w:t>41</w:t>
            </w:r>
          </w:p>
        </w:tc>
        <w:tc>
          <w:tcPr>
            <w:tcW w:w="1590" w:type="dxa"/>
            <w:hideMark/>
          </w:tcPr>
          <w:p w14:paraId="5699BA14" w14:textId="77777777" w:rsidR="0028280C" w:rsidRPr="00F65844" w:rsidRDefault="0028280C" w:rsidP="00E43F48">
            <w:pPr>
              <w:pStyle w:val="NormalWeb"/>
              <w:jc w:val="both"/>
            </w:pPr>
            <w:r w:rsidRPr="00F65844">
              <w:t>149</w:t>
            </w:r>
          </w:p>
        </w:tc>
        <w:tc>
          <w:tcPr>
            <w:tcW w:w="1590" w:type="dxa"/>
            <w:hideMark/>
          </w:tcPr>
          <w:p w14:paraId="62846363" w14:textId="77777777" w:rsidR="0028280C" w:rsidRPr="00F65844" w:rsidRDefault="0028280C" w:rsidP="00E43F48">
            <w:pPr>
              <w:pStyle w:val="NormalWeb"/>
              <w:jc w:val="both"/>
            </w:pPr>
            <w:r w:rsidRPr="00F65844">
              <w:t>638</w:t>
            </w:r>
          </w:p>
        </w:tc>
        <w:tc>
          <w:tcPr>
            <w:tcW w:w="1590" w:type="dxa"/>
            <w:hideMark/>
          </w:tcPr>
          <w:p w14:paraId="0BE5A9CE" w14:textId="77777777" w:rsidR="0028280C" w:rsidRPr="00F65844" w:rsidRDefault="0028280C" w:rsidP="00E43F48">
            <w:pPr>
              <w:pStyle w:val="NormalWeb"/>
              <w:jc w:val="both"/>
            </w:pPr>
            <w:r w:rsidRPr="00F65844">
              <w:t>58</w:t>
            </w:r>
          </w:p>
        </w:tc>
        <w:tc>
          <w:tcPr>
            <w:tcW w:w="1188" w:type="dxa"/>
            <w:hideMark/>
          </w:tcPr>
          <w:p w14:paraId="04AFF957" w14:textId="77777777" w:rsidR="0028280C" w:rsidRPr="00F65844" w:rsidRDefault="0028280C" w:rsidP="00E43F48">
            <w:pPr>
              <w:pStyle w:val="NormalWeb"/>
              <w:jc w:val="both"/>
            </w:pPr>
            <w:r w:rsidRPr="00F65844">
              <w:t>886</w:t>
            </w:r>
          </w:p>
        </w:tc>
      </w:tr>
      <w:tr w:rsidR="0028280C" w:rsidRPr="00F65844" w14:paraId="15FD0A48" w14:textId="77777777" w:rsidTr="00E43F48">
        <w:trPr>
          <w:trHeight w:val="345"/>
        </w:trPr>
        <w:tc>
          <w:tcPr>
            <w:tcW w:w="1591" w:type="dxa"/>
            <w:hideMark/>
          </w:tcPr>
          <w:p w14:paraId="23B0F5BC" w14:textId="77777777" w:rsidR="0028280C" w:rsidRPr="00F65844" w:rsidRDefault="0028280C" w:rsidP="00E43F48">
            <w:pPr>
              <w:pStyle w:val="NormalWeb"/>
              <w:jc w:val="both"/>
            </w:pPr>
            <w:r w:rsidRPr="00F65844">
              <w:t>Avril</w:t>
            </w:r>
          </w:p>
        </w:tc>
        <w:tc>
          <w:tcPr>
            <w:tcW w:w="1591" w:type="dxa"/>
            <w:hideMark/>
          </w:tcPr>
          <w:p w14:paraId="56D005A3" w14:textId="77777777" w:rsidR="0028280C" w:rsidRPr="00F65844" w:rsidRDefault="0028280C" w:rsidP="00E43F48">
            <w:pPr>
              <w:pStyle w:val="NormalWeb"/>
              <w:jc w:val="both"/>
            </w:pPr>
            <w:r w:rsidRPr="00F65844">
              <w:t>46</w:t>
            </w:r>
          </w:p>
        </w:tc>
        <w:tc>
          <w:tcPr>
            <w:tcW w:w="1590" w:type="dxa"/>
            <w:hideMark/>
          </w:tcPr>
          <w:p w14:paraId="05751DFA" w14:textId="77777777" w:rsidR="0028280C" w:rsidRPr="00F65844" w:rsidRDefault="0028280C" w:rsidP="00E43F48">
            <w:pPr>
              <w:pStyle w:val="NormalWeb"/>
              <w:jc w:val="both"/>
            </w:pPr>
            <w:r w:rsidRPr="00F65844">
              <w:t>85</w:t>
            </w:r>
          </w:p>
        </w:tc>
        <w:tc>
          <w:tcPr>
            <w:tcW w:w="1590" w:type="dxa"/>
            <w:hideMark/>
          </w:tcPr>
          <w:p w14:paraId="790BB88A" w14:textId="77777777" w:rsidR="0028280C" w:rsidRPr="00F65844" w:rsidRDefault="0028280C" w:rsidP="00E43F48">
            <w:pPr>
              <w:pStyle w:val="NormalWeb"/>
              <w:jc w:val="both"/>
            </w:pPr>
            <w:r w:rsidRPr="00F65844">
              <w:t>241</w:t>
            </w:r>
          </w:p>
        </w:tc>
        <w:tc>
          <w:tcPr>
            <w:tcW w:w="1590" w:type="dxa"/>
            <w:hideMark/>
          </w:tcPr>
          <w:p w14:paraId="51B3733A" w14:textId="77777777" w:rsidR="0028280C" w:rsidRPr="00F65844" w:rsidRDefault="0028280C" w:rsidP="00E43F48">
            <w:pPr>
              <w:pStyle w:val="NormalWeb"/>
              <w:jc w:val="both"/>
            </w:pPr>
            <w:r w:rsidRPr="00F65844">
              <w:t>51</w:t>
            </w:r>
          </w:p>
        </w:tc>
        <w:tc>
          <w:tcPr>
            <w:tcW w:w="1188" w:type="dxa"/>
            <w:hideMark/>
          </w:tcPr>
          <w:p w14:paraId="6C5863E4" w14:textId="77777777" w:rsidR="0028280C" w:rsidRPr="00F65844" w:rsidRDefault="0028280C" w:rsidP="00E43F48">
            <w:pPr>
              <w:pStyle w:val="NormalWeb"/>
              <w:jc w:val="both"/>
            </w:pPr>
            <w:r w:rsidRPr="00F65844">
              <w:t>423</w:t>
            </w:r>
          </w:p>
        </w:tc>
      </w:tr>
      <w:tr w:rsidR="0028280C" w:rsidRPr="00F65844" w14:paraId="18411FF4" w14:textId="77777777" w:rsidTr="00E43F48">
        <w:trPr>
          <w:trHeight w:val="345"/>
        </w:trPr>
        <w:tc>
          <w:tcPr>
            <w:tcW w:w="1591" w:type="dxa"/>
            <w:hideMark/>
          </w:tcPr>
          <w:p w14:paraId="278027BA" w14:textId="77777777" w:rsidR="0028280C" w:rsidRPr="00F65844" w:rsidRDefault="0028280C" w:rsidP="00E43F48">
            <w:pPr>
              <w:pStyle w:val="NormalWeb"/>
              <w:jc w:val="both"/>
            </w:pPr>
            <w:r w:rsidRPr="00F65844">
              <w:t>Mai</w:t>
            </w:r>
          </w:p>
        </w:tc>
        <w:tc>
          <w:tcPr>
            <w:tcW w:w="1591" w:type="dxa"/>
            <w:hideMark/>
          </w:tcPr>
          <w:p w14:paraId="7A80CD8E" w14:textId="77777777" w:rsidR="0028280C" w:rsidRPr="00F65844" w:rsidRDefault="0028280C" w:rsidP="00E43F48">
            <w:pPr>
              <w:pStyle w:val="NormalWeb"/>
              <w:jc w:val="both"/>
            </w:pPr>
            <w:r w:rsidRPr="00F65844">
              <w:t>59</w:t>
            </w:r>
          </w:p>
        </w:tc>
        <w:tc>
          <w:tcPr>
            <w:tcW w:w="1590" w:type="dxa"/>
            <w:hideMark/>
          </w:tcPr>
          <w:p w14:paraId="3A5AA943" w14:textId="77777777" w:rsidR="0028280C" w:rsidRPr="00F65844" w:rsidRDefault="0028280C" w:rsidP="00E43F48">
            <w:pPr>
              <w:pStyle w:val="NormalWeb"/>
              <w:jc w:val="both"/>
            </w:pPr>
            <w:r w:rsidRPr="00F65844">
              <w:t>80</w:t>
            </w:r>
          </w:p>
        </w:tc>
        <w:tc>
          <w:tcPr>
            <w:tcW w:w="1590" w:type="dxa"/>
            <w:hideMark/>
          </w:tcPr>
          <w:p w14:paraId="431C3FBD" w14:textId="77777777" w:rsidR="0028280C" w:rsidRPr="00F65844" w:rsidRDefault="0028280C" w:rsidP="00E43F48">
            <w:pPr>
              <w:pStyle w:val="NormalWeb"/>
              <w:jc w:val="both"/>
            </w:pPr>
            <w:r w:rsidRPr="00F65844">
              <w:t>104</w:t>
            </w:r>
          </w:p>
        </w:tc>
        <w:tc>
          <w:tcPr>
            <w:tcW w:w="1590" w:type="dxa"/>
            <w:hideMark/>
          </w:tcPr>
          <w:p w14:paraId="2DC60BAE" w14:textId="77777777" w:rsidR="0028280C" w:rsidRPr="00F65844" w:rsidRDefault="0028280C" w:rsidP="00E43F48">
            <w:pPr>
              <w:pStyle w:val="NormalWeb"/>
              <w:jc w:val="both"/>
            </w:pPr>
            <w:r w:rsidRPr="00F65844">
              <w:t>51</w:t>
            </w:r>
          </w:p>
        </w:tc>
        <w:tc>
          <w:tcPr>
            <w:tcW w:w="1188" w:type="dxa"/>
            <w:hideMark/>
          </w:tcPr>
          <w:p w14:paraId="21BAD9C5" w14:textId="77777777" w:rsidR="0028280C" w:rsidRPr="00F65844" w:rsidRDefault="0028280C" w:rsidP="00E43F48">
            <w:pPr>
              <w:pStyle w:val="NormalWeb"/>
              <w:jc w:val="both"/>
            </w:pPr>
            <w:r w:rsidRPr="00F65844">
              <w:t>294</w:t>
            </w:r>
          </w:p>
        </w:tc>
      </w:tr>
      <w:tr w:rsidR="0028280C" w:rsidRPr="00F65844" w14:paraId="46BE29EE" w14:textId="77777777" w:rsidTr="00E43F48">
        <w:trPr>
          <w:trHeight w:val="345"/>
        </w:trPr>
        <w:tc>
          <w:tcPr>
            <w:tcW w:w="1591" w:type="dxa"/>
            <w:hideMark/>
          </w:tcPr>
          <w:p w14:paraId="15738EC3" w14:textId="77777777" w:rsidR="0028280C" w:rsidRPr="00F65844" w:rsidRDefault="0028280C" w:rsidP="00E43F48">
            <w:pPr>
              <w:pStyle w:val="NormalWeb"/>
              <w:jc w:val="both"/>
            </w:pPr>
            <w:r w:rsidRPr="00F65844">
              <w:t>Juin</w:t>
            </w:r>
          </w:p>
        </w:tc>
        <w:tc>
          <w:tcPr>
            <w:tcW w:w="1591" w:type="dxa"/>
            <w:hideMark/>
          </w:tcPr>
          <w:p w14:paraId="0D388E62" w14:textId="77777777" w:rsidR="0028280C" w:rsidRPr="00F65844" w:rsidRDefault="0028280C" w:rsidP="00E43F48">
            <w:pPr>
              <w:pStyle w:val="NormalWeb"/>
              <w:jc w:val="both"/>
            </w:pPr>
            <w:r w:rsidRPr="00F65844">
              <w:t>53</w:t>
            </w:r>
          </w:p>
        </w:tc>
        <w:tc>
          <w:tcPr>
            <w:tcW w:w="1590" w:type="dxa"/>
            <w:hideMark/>
          </w:tcPr>
          <w:p w14:paraId="4DBAFA47" w14:textId="77777777" w:rsidR="0028280C" w:rsidRPr="00F65844" w:rsidRDefault="0028280C" w:rsidP="00E43F48">
            <w:pPr>
              <w:pStyle w:val="NormalWeb"/>
              <w:jc w:val="both"/>
            </w:pPr>
            <w:r w:rsidRPr="00F65844">
              <w:t>160</w:t>
            </w:r>
          </w:p>
        </w:tc>
        <w:tc>
          <w:tcPr>
            <w:tcW w:w="1590" w:type="dxa"/>
            <w:hideMark/>
          </w:tcPr>
          <w:p w14:paraId="192043DF" w14:textId="77777777" w:rsidR="0028280C" w:rsidRPr="00F65844" w:rsidRDefault="0028280C" w:rsidP="00E43F48">
            <w:pPr>
              <w:pStyle w:val="NormalWeb"/>
              <w:jc w:val="both"/>
            </w:pPr>
            <w:r w:rsidRPr="00F65844">
              <w:t>73</w:t>
            </w:r>
          </w:p>
        </w:tc>
        <w:tc>
          <w:tcPr>
            <w:tcW w:w="1590" w:type="dxa"/>
            <w:hideMark/>
          </w:tcPr>
          <w:p w14:paraId="05D87FD5" w14:textId="77777777" w:rsidR="0028280C" w:rsidRPr="00F65844" w:rsidRDefault="0028280C" w:rsidP="00E43F48">
            <w:pPr>
              <w:pStyle w:val="NormalWeb"/>
              <w:jc w:val="both"/>
            </w:pPr>
            <w:r w:rsidRPr="00F65844">
              <w:t>39</w:t>
            </w:r>
          </w:p>
        </w:tc>
        <w:tc>
          <w:tcPr>
            <w:tcW w:w="1188" w:type="dxa"/>
            <w:hideMark/>
          </w:tcPr>
          <w:p w14:paraId="5DACBC3C" w14:textId="77777777" w:rsidR="0028280C" w:rsidRPr="00F65844" w:rsidRDefault="0028280C" w:rsidP="00E43F48">
            <w:pPr>
              <w:pStyle w:val="NormalWeb"/>
              <w:jc w:val="both"/>
            </w:pPr>
            <w:r w:rsidRPr="00F65844">
              <w:t>325</w:t>
            </w:r>
          </w:p>
        </w:tc>
      </w:tr>
      <w:tr w:rsidR="0028280C" w:rsidRPr="00F65844" w14:paraId="622D2451" w14:textId="77777777" w:rsidTr="00E43F48">
        <w:trPr>
          <w:trHeight w:val="345"/>
        </w:trPr>
        <w:tc>
          <w:tcPr>
            <w:tcW w:w="1591" w:type="dxa"/>
            <w:hideMark/>
          </w:tcPr>
          <w:p w14:paraId="085B6B07" w14:textId="77777777" w:rsidR="0028280C" w:rsidRPr="00F65844" w:rsidRDefault="0028280C" w:rsidP="00E43F48">
            <w:pPr>
              <w:pStyle w:val="NormalWeb"/>
              <w:jc w:val="both"/>
            </w:pPr>
            <w:r w:rsidRPr="00F65844">
              <w:t>Juillet</w:t>
            </w:r>
          </w:p>
        </w:tc>
        <w:tc>
          <w:tcPr>
            <w:tcW w:w="1591" w:type="dxa"/>
            <w:hideMark/>
          </w:tcPr>
          <w:p w14:paraId="36259DAC" w14:textId="77777777" w:rsidR="0028280C" w:rsidRPr="00F65844" w:rsidRDefault="0028280C" w:rsidP="00E43F48">
            <w:pPr>
              <w:pStyle w:val="NormalWeb"/>
              <w:jc w:val="both"/>
            </w:pPr>
            <w:r w:rsidRPr="00F65844">
              <w:t>42</w:t>
            </w:r>
          </w:p>
        </w:tc>
        <w:tc>
          <w:tcPr>
            <w:tcW w:w="1590" w:type="dxa"/>
            <w:hideMark/>
          </w:tcPr>
          <w:p w14:paraId="5C1E96D1" w14:textId="77777777" w:rsidR="0028280C" w:rsidRPr="00F65844" w:rsidRDefault="0028280C" w:rsidP="00E43F48">
            <w:pPr>
              <w:pStyle w:val="NormalWeb"/>
              <w:jc w:val="both"/>
            </w:pPr>
            <w:r w:rsidRPr="00F65844">
              <w:t>147</w:t>
            </w:r>
          </w:p>
        </w:tc>
        <w:tc>
          <w:tcPr>
            <w:tcW w:w="1590" w:type="dxa"/>
            <w:hideMark/>
          </w:tcPr>
          <w:p w14:paraId="1C8CA6C5" w14:textId="77777777" w:rsidR="0028280C" w:rsidRPr="00F65844" w:rsidRDefault="0028280C" w:rsidP="00E43F48">
            <w:pPr>
              <w:pStyle w:val="NormalWeb"/>
              <w:jc w:val="both"/>
            </w:pPr>
            <w:r w:rsidRPr="00F65844">
              <w:t>35</w:t>
            </w:r>
          </w:p>
        </w:tc>
        <w:tc>
          <w:tcPr>
            <w:tcW w:w="1590" w:type="dxa"/>
            <w:hideMark/>
          </w:tcPr>
          <w:p w14:paraId="5AE69B0C" w14:textId="77777777" w:rsidR="0028280C" w:rsidRPr="00F65844" w:rsidRDefault="0028280C" w:rsidP="00E43F48">
            <w:pPr>
              <w:pStyle w:val="NormalWeb"/>
              <w:jc w:val="both"/>
            </w:pPr>
            <w:r w:rsidRPr="00F65844">
              <w:t>39</w:t>
            </w:r>
          </w:p>
        </w:tc>
        <w:tc>
          <w:tcPr>
            <w:tcW w:w="1188" w:type="dxa"/>
            <w:hideMark/>
          </w:tcPr>
          <w:p w14:paraId="5BD70023" w14:textId="77777777" w:rsidR="0028280C" w:rsidRPr="00F65844" w:rsidRDefault="0028280C" w:rsidP="00E43F48">
            <w:pPr>
              <w:pStyle w:val="NormalWeb"/>
              <w:jc w:val="both"/>
            </w:pPr>
            <w:r w:rsidRPr="00F65844">
              <w:t>263</w:t>
            </w:r>
          </w:p>
        </w:tc>
      </w:tr>
      <w:tr w:rsidR="0028280C" w:rsidRPr="00F65844" w14:paraId="70620EEB" w14:textId="77777777" w:rsidTr="00E43F48">
        <w:trPr>
          <w:trHeight w:val="345"/>
        </w:trPr>
        <w:tc>
          <w:tcPr>
            <w:tcW w:w="1591" w:type="dxa"/>
            <w:hideMark/>
          </w:tcPr>
          <w:p w14:paraId="78D71CF3" w14:textId="77777777" w:rsidR="0028280C" w:rsidRPr="00F65844" w:rsidRDefault="0028280C" w:rsidP="00E43F48">
            <w:pPr>
              <w:pStyle w:val="NormalWeb"/>
              <w:jc w:val="both"/>
            </w:pPr>
            <w:r w:rsidRPr="00F65844">
              <w:lastRenderedPageBreak/>
              <w:t>Ao</w:t>
            </w:r>
            <w:r>
              <w:t>û</w:t>
            </w:r>
            <w:r w:rsidRPr="00F65844">
              <w:t>t</w:t>
            </w:r>
          </w:p>
        </w:tc>
        <w:tc>
          <w:tcPr>
            <w:tcW w:w="1591" w:type="dxa"/>
            <w:hideMark/>
          </w:tcPr>
          <w:p w14:paraId="6F7E9B33" w14:textId="77777777" w:rsidR="0028280C" w:rsidRPr="00F65844" w:rsidRDefault="0028280C" w:rsidP="00E43F48">
            <w:pPr>
              <w:pStyle w:val="NormalWeb"/>
              <w:jc w:val="both"/>
            </w:pPr>
            <w:r w:rsidRPr="00F65844">
              <w:t>91</w:t>
            </w:r>
          </w:p>
        </w:tc>
        <w:tc>
          <w:tcPr>
            <w:tcW w:w="1590" w:type="dxa"/>
            <w:hideMark/>
          </w:tcPr>
          <w:p w14:paraId="6714D65B" w14:textId="77777777" w:rsidR="0028280C" w:rsidRPr="00F65844" w:rsidRDefault="0028280C" w:rsidP="00E43F48">
            <w:pPr>
              <w:pStyle w:val="NormalWeb"/>
              <w:jc w:val="both"/>
            </w:pPr>
            <w:r w:rsidRPr="00F65844">
              <w:t>157</w:t>
            </w:r>
          </w:p>
        </w:tc>
        <w:tc>
          <w:tcPr>
            <w:tcW w:w="1590" w:type="dxa"/>
            <w:hideMark/>
          </w:tcPr>
          <w:p w14:paraId="25705161" w14:textId="77777777" w:rsidR="0028280C" w:rsidRPr="00F65844" w:rsidRDefault="0028280C" w:rsidP="00E43F48">
            <w:pPr>
              <w:pStyle w:val="NormalWeb"/>
              <w:jc w:val="both"/>
            </w:pPr>
            <w:r w:rsidRPr="00F65844">
              <w:t>61</w:t>
            </w:r>
          </w:p>
        </w:tc>
        <w:tc>
          <w:tcPr>
            <w:tcW w:w="1590" w:type="dxa"/>
            <w:hideMark/>
          </w:tcPr>
          <w:p w14:paraId="60EEB46D" w14:textId="77777777" w:rsidR="0028280C" w:rsidRPr="00F65844" w:rsidRDefault="0028280C" w:rsidP="00E43F48">
            <w:pPr>
              <w:pStyle w:val="NormalWeb"/>
              <w:jc w:val="both"/>
            </w:pPr>
            <w:r w:rsidRPr="00F65844">
              <w:t>37</w:t>
            </w:r>
          </w:p>
        </w:tc>
        <w:tc>
          <w:tcPr>
            <w:tcW w:w="1188" w:type="dxa"/>
            <w:hideMark/>
          </w:tcPr>
          <w:p w14:paraId="408CB0A9" w14:textId="77777777" w:rsidR="0028280C" w:rsidRPr="00F65844" w:rsidRDefault="0028280C" w:rsidP="00E43F48">
            <w:pPr>
              <w:pStyle w:val="NormalWeb"/>
              <w:jc w:val="both"/>
            </w:pPr>
            <w:r w:rsidRPr="00F65844">
              <w:t>346</w:t>
            </w:r>
          </w:p>
        </w:tc>
      </w:tr>
      <w:tr w:rsidR="0028280C" w:rsidRPr="00F65844" w14:paraId="61572D4A" w14:textId="77777777" w:rsidTr="00E43F48">
        <w:trPr>
          <w:trHeight w:val="345"/>
        </w:trPr>
        <w:tc>
          <w:tcPr>
            <w:tcW w:w="1591" w:type="dxa"/>
            <w:hideMark/>
          </w:tcPr>
          <w:p w14:paraId="7CE3512B" w14:textId="77777777" w:rsidR="0028280C" w:rsidRPr="00F65844" w:rsidRDefault="0028280C" w:rsidP="00E43F48">
            <w:pPr>
              <w:pStyle w:val="NormalWeb"/>
              <w:jc w:val="both"/>
            </w:pPr>
            <w:r w:rsidRPr="00F65844">
              <w:t>Septembre</w:t>
            </w:r>
          </w:p>
        </w:tc>
        <w:tc>
          <w:tcPr>
            <w:tcW w:w="1591" w:type="dxa"/>
            <w:hideMark/>
          </w:tcPr>
          <w:p w14:paraId="37ADCBF1" w14:textId="77777777" w:rsidR="0028280C" w:rsidRPr="00F65844" w:rsidRDefault="0028280C" w:rsidP="00E43F48">
            <w:pPr>
              <w:pStyle w:val="NormalWeb"/>
              <w:jc w:val="both"/>
            </w:pPr>
            <w:r w:rsidRPr="00F65844">
              <w:t>91</w:t>
            </w:r>
          </w:p>
        </w:tc>
        <w:tc>
          <w:tcPr>
            <w:tcW w:w="1590" w:type="dxa"/>
            <w:hideMark/>
          </w:tcPr>
          <w:p w14:paraId="2175B6FE" w14:textId="77777777" w:rsidR="0028280C" w:rsidRPr="00F65844" w:rsidRDefault="0028280C" w:rsidP="00E43F48">
            <w:pPr>
              <w:pStyle w:val="NormalWeb"/>
              <w:jc w:val="both"/>
            </w:pPr>
            <w:r w:rsidRPr="00F65844">
              <w:t>114</w:t>
            </w:r>
          </w:p>
        </w:tc>
        <w:tc>
          <w:tcPr>
            <w:tcW w:w="1590" w:type="dxa"/>
            <w:hideMark/>
          </w:tcPr>
          <w:p w14:paraId="3BF9EAF7" w14:textId="77777777" w:rsidR="0028280C" w:rsidRPr="00F65844" w:rsidRDefault="0028280C" w:rsidP="00E43F48">
            <w:pPr>
              <w:pStyle w:val="NormalWeb"/>
              <w:jc w:val="both"/>
            </w:pPr>
            <w:r w:rsidRPr="00F65844">
              <w:t>26</w:t>
            </w:r>
          </w:p>
        </w:tc>
        <w:tc>
          <w:tcPr>
            <w:tcW w:w="1590" w:type="dxa"/>
            <w:hideMark/>
          </w:tcPr>
          <w:p w14:paraId="7DB7E483" w14:textId="77777777" w:rsidR="0028280C" w:rsidRPr="00F65844" w:rsidRDefault="0028280C" w:rsidP="00E43F48">
            <w:pPr>
              <w:pStyle w:val="NormalWeb"/>
              <w:jc w:val="both"/>
            </w:pPr>
            <w:r w:rsidRPr="00F65844">
              <w:t>27</w:t>
            </w:r>
          </w:p>
        </w:tc>
        <w:tc>
          <w:tcPr>
            <w:tcW w:w="1188" w:type="dxa"/>
            <w:hideMark/>
          </w:tcPr>
          <w:p w14:paraId="12C66D2E" w14:textId="77777777" w:rsidR="0028280C" w:rsidRPr="00F65844" w:rsidRDefault="0028280C" w:rsidP="00E43F48">
            <w:pPr>
              <w:pStyle w:val="NormalWeb"/>
              <w:jc w:val="both"/>
            </w:pPr>
            <w:r w:rsidRPr="00F65844">
              <w:t>258</w:t>
            </w:r>
          </w:p>
        </w:tc>
      </w:tr>
      <w:tr w:rsidR="0028280C" w:rsidRPr="00F65844" w14:paraId="355C5062" w14:textId="77777777" w:rsidTr="00E43F48">
        <w:trPr>
          <w:trHeight w:val="333"/>
        </w:trPr>
        <w:tc>
          <w:tcPr>
            <w:tcW w:w="1591" w:type="dxa"/>
            <w:hideMark/>
          </w:tcPr>
          <w:p w14:paraId="687156D5" w14:textId="77777777" w:rsidR="0028280C" w:rsidRPr="00F65844" w:rsidRDefault="0028280C" w:rsidP="00E43F48">
            <w:pPr>
              <w:pStyle w:val="NormalWeb"/>
              <w:jc w:val="both"/>
            </w:pPr>
            <w:r w:rsidRPr="00F65844">
              <w:t>Total</w:t>
            </w:r>
          </w:p>
        </w:tc>
        <w:tc>
          <w:tcPr>
            <w:tcW w:w="1591" w:type="dxa"/>
            <w:hideMark/>
          </w:tcPr>
          <w:p w14:paraId="5F1D193F" w14:textId="77777777" w:rsidR="0028280C" w:rsidRPr="00F65844" w:rsidRDefault="0028280C" w:rsidP="00E43F48">
            <w:pPr>
              <w:pStyle w:val="NormalWeb"/>
              <w:jc w:val="both"/>
            </w:pPr>
            <w:r w:rsidRPr="00F65844">
              <w:t>519</w:t>
            </w:r>
          </w:p>
        </w:tc>
        <w:tc>
          <w:tcPr>
            <w:tcW w:w="1590" w:type="dxa"/>
            <w:hideMark/>
          </w:tcPr>
          <w:p w14:paraId="7A5E66FE" w14:textId="77777777" w:rsidR="0028280C" w:rsidRPr="00F65844" w:rsidRDefault="0028280C" w:rsidP="00E43F48">
            <w:pPr>
              <w:pStyle w:val="NormalWeb"/>
              <w:jc w:val="both"/>
            </w:pPr>
            <w:r w:rsidRPr="00F65844">
              <w:t>1047</w:t>
            </w:r>
          </w:p>
        </w:tc>
        <w:tc>
          <w:tcPr>
            <w:tcW w:w="1590" w:type="dxa"/>
            <w:hideMark/>
          </w:tcPr>
          <w:p w14:paraId="12A207B3" w14:textId="77777777" w:rsidR="0028280C" w:rsidRPr="00F65844" w:rsidRDefault="0028280C" w:rsidP="00E43F48">
            <w:pPr>
              <w:pStyle w:val="NormalWeb"/>
              <w:jc w:val="both"/>
            </w:pPr>
            <w:r w:rsidRPr="00F65844">
              <w:t>1285</w:t>
            </w:r>
          </w:p>
        </w:tc>
        <w:tc>
          <w:tcPr>
            <w:tcW w:w="1590" w:type="dxa"/>
            <w:hideMark/>
          </w:tcPr>
          <w:p w14:paraId="6D0E2761" w14:textId="77777777" w:rsidR="0028280C" w:rsidRPr="00F65844" w:rsidRDefault="0028280C" w:rsidP="00E43F48">
            <w:pPr>
              <w:pStyle w:val="NormalWeb"/>
              <w:jc w:val="both"/>
            </w:pPr>
            <w:r w:rsidRPr="00F65844">
              <w:t>447</w:t>
            </w:r>
          </w:p>
        </w:tc>
        <w:tc>
          <w:tcPr>
            <w:tcW w:w="1188" w:type="dxa"/>
            <w:hideMark/>
          </w:tcPr>
          <w:p w14:paraId="5309ADC5" w14:textId="77777777" w:rsidR="0028280C" w:rsidRPr="00F65844" w:rsidRDefault="0028280C" w:rsidP="00E43F48">
            <w:pPr>
              <w:pStyle w:val="NormalWeb"/>
              <w:jc w:val="both"/>
            </w:pPr>
            <w:r w:rsidRPr="00F65844">
              <w:t>3298</w:t>
            </w:r>
          </w:p>
        </w:tc>
      </w:tr>
    </w:tbl>
    <w:p w14:paraId="31849612" w14:textId="77777777" w:rsidR="0028280C" w:rsidRPr="005158B8" w:rsidRDefault="0028280C" w:rsidP="0028280C">
      <w:pPr>
        <w:pStyle w:val="NormalWeb"/>
        <w:jc w:val="both"/>
        <w:rPr>
          <w:sz w:val="20"/>
          <w:szCs w:val="20"/>
        </w:rPr>
      </w:pPr>
      <w:r w:rsidRPr="005158B8">
        <w:rPr>
          <w:sz w:val="20"/>
          <w:szCs w:val="20"/>
        </w:rPr>
        <w:t>Source : Monitoring de protection, HCR</w:t>
      </w:r>
    </w:p>
    <w:p w14:paraId="467DFB8B" w14:textId="0C4365B6" w:rsidR="0028280C" w:rsidRPr="009E1DAA" w:rsidRDefault="0028280C" w:rsidP="0028280C">
      <w:pPr>
        <w:pStyle w:val="Commentaire"/>
        <w:jc w:val="both"/>
        <w:rPr>
          <w:rFonts w:ascii="Times New Roman" w:hAnsi="Times New Roman" w:cs="Times New Roman"/>
        </w:rPr>
      </w:pPr>
      <w:r w:rsidRPr="009E1DAA">
        <w:rPr>
          <w:rFonts w:ascii="Times New Roman" w:eastAsia="Times New Roman" w:hAnsi="Times New Roman" w:cs="Times New Roman"/>
          <w:szCs w:val="22"/>
          <w:lang w:eastAsia="fr-FR"/>
        </w:rPr>
        <w:t>Malgré les défis sécuritaires, le Niger continue de maintenir une politique dite de « portes ouvertes » à l’endroit des perso</w:t>
      </w:r>
      <w:r w:rsidR="00F92586">
        <w:rPr>
          <w:rFonts w:ascii="Times New Roman" w:eastAsia="Times New Roman" w:hAnsi="Times New Roman" w:cs="Times New Roman"/>
          <w:szCs w:val="22"/>
          <w:lang w:eastAsia="fr-FR"/>
        </w:rPr>
        <w:t>nnes pouvant solliciter l’asile et</w:t>
      </w:r>
      <w:r w:rsidRPr="009E1DAA">
        <w:rPr>
          <w:rFonts w:ascii="Times New Roman" w:eastAsia="Times New Roman" w:hAnsi="Times New Roman" w:cs="Times New Roman"/>
          <w:szCs w:val="22"/>
          <w:lang w:eastAsia="fr-FR"/>
        </w:rPr>
        <w:t xml:space="preserve"> la protection internationale sur son territoire. Et ceci s’est poursuivi même durant le déclenchement de la pand</w:t>
      </w:r>
      <w:r w:rsidR="00F92586">
        <w:rPr>
          <w:rFonts w:ascii="Times New Roman" w:eastAsia="Times New Roman" w:hAnsi="Times New Roman" w:cs="Times New Roman"/>
          <w:szCs w:val="22"/>
          <w:lang w:eastAsia="fr-FR"/>
        </w:rPr>
        <w:t>émie de COVID-19. En lien avec l</w:t>
      </w:r>
      <w:r w:rsidRPr="009E1DAA">
        <w:rPr>
          <w:rFonts w:ascii="Times New Roman" w:eastAsia="Times New Roman" w:hAnsi="Times New Roman" w:cs="Times New Roman"/>
          <w:szCs w:val="22"/>
          <w:lang w:eastAsia="fr-FR"/>
        </w:rPr>
        <w:t>es engagements pris lors du Forum mondial sur les réfugiés et le Segment Mondial de Haut Niveau sur l’Apatridie (SHN), le pays a amorcé une réforme de son système d’asile (Loi du 20 juin 1997 portant statut des réfugiés). A long terme, ce processus en cours permettra de rendre le système d’asile national plus efficient et conforme aux standards et normes internationaux</w:t>
      </w:r>
      <w:r w:rsidRPr="009E1DAA">
        <w:rPr>
          <w:rFonts w:ascii="Times New Roman" w:hAnsi="Times New Roman" w:cs="Times New Roman"/>
        </w:rPr>
        <w:t>.</w:t>
      </w:r>
    </w:p>
    <w:p w14:paraId="6A27D684" w14:textId="4B3D83A2" w:rsidR="0028280C" w:rsidRDefault="0028280C" w:rsidP="0028280C">
      <w:pPr>
        <w:pStyle w:val="NormalWeb"/>
        <w:jc w:val="both"/>
        <w:rPr>
          <w:sz w:val="22"/>
          <w:szCs w:val="22"/>
        </w:rPr>
      </w:pPr>
      <w:r>
        <w:rPr>
          <w:sz w:val="22"/>
          <w:szCs w:val="22"/>
        </w:rPr>
        <w:t xml:space="preserve">La volatilité de la situation sécuritaire constitue une sérieuse menace pour la paix, l’intégrité territoriale et la cohésion nationale. Elle prive les populations de la jouissance de leurs droits particulièrement de l’accès aux services sociaux de base de qualité. Elle déstabilise le fonctionnement des administrations publiques locales qui sont déjà très peu efficaces. Les dynamiques politiques et sécuritaires au niveau régional particulièrement dans </w:t>
      </w:r>
      <w:r w:rsidR="006F0839">
        <w:rPr>
          <w:sz w:val="22"/>
          <w:szCs w:val="22"/>
        </w:rPr>
        <w:t>les pays voisins constituent de</w:t>
      </w:r>
      <w:r>
        <w:rPr>
          <w:sz w:val="22"/>
          <w:szCs w:val="22"/>
        </w:rPr>
        <w:t xml:space="preserve"> sérieuses menaces pour la stabilité politique et institutionnelle du Niger. Selon la Banque mondiale, les dépenses militaires en % </w:t>
      </w:r>
      <w:r w:rsidRPr="006B0762">
        <w:rPr>
          <w:sz w:val="22"/>
          <w:szCs w:val="22"/>
        </w:rPr>
        <w:t>du PIB ont presque doublé depuis 2011, pa</w:t>
      </w:r>
      <w:r>
        <w:rPr>
          <w:sz w:val="22"/>
          <w:szCs w:val="22"/>
        </w:rPr>
        <w:t xml:space="preserve">ssant de 1,31% à 2,4% du PIB en 2020.  </w:t>
      </w:r>
    </w:p>
    <w:p w14:paraId="155D69B0" w14:textId="77777777" w:rsidR="0028280C" w:rsidRDefault="0028280C" w:rsidP="0028280C">
      <w:pPr>
        <w:pStyle w:val="NormalWeb"/>
        <w:jc w:val="both"/>
        <w:rPr>
          <w:sz w:val="22"/>
          <w:szCs w:val="22"/>
        </w:rPr>
      </w:pPr>
      <w:r>
        <w:rPr>
          <w:sz w:val="22"/>
          <w:szCs w:val="22"/>
        </w:rPr>
        <w:t>En définitive, la sécurité est un enjeu majeur pour la réduction de la pauvreté et la promotion du développement économique et social du pays. La persistance, l’aggravation et l’extension de l’insécurité pourrait compromettre la réalisation des ODD.</w:t>
      </w:r>
      <w:r w:rsidRPr="003357E7">
        <w:t xml:space="preserve"> </w:t>
      </w:r>
      <w:r>
        <w:rPr>
          <w:sz w:val="22"/>
          <w:szCs w:val="22"/>
        </w:rPr>
        <w:t>La précarité de la situation sécuritaire est essentiellement causée par la f</w:t>
      </w:r>
      <w:r w:rsidRPr="008468FD">
        <w:rPr>
          <w:sz w:val="22"/>
          <w:szCs w:val="22"/>
        </w:rPr>
        <w:t>aible</w:t>
      </w:r>
      <w:r>
        <w:rPr>
          <w:sz w:val="22"/>
          <w:szCs w:val="22"/>
        </w:rPr>
        <w:t>sse des</w:t>
      </w:r>
      <w:r w:rsidRPr="008468FD">
        <w:rPr>
          <w:sz w:val="22"/>
          <w:szCs w:val="22"/>
        </w:rPr>
        <w:t xml:space="preserve"> capacités </w:t>
      </w:r>
      <w:r>
        <w:rPr>
          <w:sz w:val="22"/>
          <w:szCs w:val="22"/>
        </w:rPr>
        <w:t xml:space="preserve">de </w:t>
      </w:r>
      <w:r w:rsidRPr="008468FD">
        <w:rPr>
          <w:sz w:val="22"/>
          <w:szCs w:val="22"/>
        </w:rPr>
        <w:t>surveillance du territoire</w:t>
      </w:r>
      <w:r>
        <w:rPr>
          <w:sz w:val="22"/>
          <w:szCs w:val="22"/>
        </w:rPr>
        <w:t>,</w:t>
      </w:r>
      <w:r w:rsidRPr="008468FD">
        <w:rPr>
          <w:sz w:val="22"/>
          <w:szCs w:val="22"/>
        </w:rPr>
        <w:t xml:space="preserve"> des personnes et de leur</w:t>
      </w:r>
      <w:r>
        <w:rPr>
          <w:sz w:val="22"/>
          <w:szCs w:val="22"/>
        </w:rPr>
        <w:t>s</w:t>
      </w:r>
      <w:r w:rsidRPr="008468FD">
        <w:rPr>
          <w:sz w:val="22"/>
          <w:szCs w:val="22"/>
        </w:rPr>
        <w:t xml:space="preserve"> biens</w:t>
      </w:r>
      <w:r>
        <w:rPr>
          <w:sz w:val="22"/>
          <w:szCs w:val="22"/>
        </w:rPr>
        <w:t>, pouvant s’expliquer par un d</w:t>
      </w:r>
      <w:r w:rsidRPr="008468FD">
        <w:rPr>
          <w:sz w:val="22"/>
          <w:szCs w:val="22"/>
        </w:rPr>
        <w:t>éploiement inadapté des FDS dans les zones d'opérations</w:t>
      </w:r>
      <w:r>
        <w:rPr>
          <w:sz w:val="22"/>
          <w:szCs w:val="22"/>
        </w:rPr>
        <w:t>.</w:t>
      </w:r>
    </w:p>
    <w:p w14:paraId="11EFAB68" w14:textId="77777777" w:rsidR="006F0839" w:rsidRDefault="006F0839" w:rsidP="0028280C">
      <w:pPr>
        <w:pStyle w:val="NormalWeb"/>
        <w:jc w:val="both"/>
        <w:rPr>
          <w:sz w:val="22"/>
          <w:szCs w:val="22"/>
        </w:rPr>
      </w:pPr>
    </w:p>
    <w:p w14:paraId="3BAC2F59" w14:textId="5325AF33" w:rsidR="0028280C" w:rsidRPr="00081210" w:rsidRDefault="0028280C" w:rsidP="0028280C">
      <w:pPr>
        <w:pStyle w:val="NormalWeb"/>
        <w:pBdr>
          <w:top w:val="single" w:sz="4" w:space="1" w:color="auto"/>
          <w:left w:val="single" w:sz="4" w:space="4" w:color="auto"/>
          <w:bottom w:val="single" w:sz="4" w:space="1" w:color="auto"/>
          <w:right w:val="single" w:sz="4" w:space="4" w:color="auto"/>
        </w:pBdr>
        <w:shd w:val="clear" w:color="auto" w:fill="92D050"/>
        <w:jc w:val="both"/>
        <w:rPr>
          <w:sz w:val="22"/>
          <w:szCs w:val="22"/>
        </w:rPr>
      </w:pPr>
      <w:r>
        <w:rPr>
          <w:sz w:val="22"/>
          <w:szCs w:val="22"/>
        </w:rPr>
        <w:t>L’état des lieux de la gouvernance sécuritaire a permis de mettre en relief le problème central suivant : « </w:t>
      </w:r>
      <w:r w:rsidRPr="00055EE4">
        <w:rPr>
          <w:b/>
          <w:i/>
          <w:sz w:val="22"/>
          <w:szCs w:val="22"/>
        </w:rPr>
        <w:t>Les faible capacités de surveillance du territoire,  des personnes et de leurs biens</w:t>
      </w:r>
      <w:r>
        <w:rPr>
          <w:sz w:val="22"/>
          <w:szCs w:val="22"/>
        </w:rPr>
        <w:t xml:space="preserve"> ». </w:t>
      </w:r>
      <w:r w:rsidR="006F0839">
        <w:rPr>
          <w:sz w:val="22"/>
          <w:szCs w:val="22"/>
        </w:rPr>
        <w:t>L</w:t>
      </w:r>
      <w:r>
        <w:rPr>
          <w:sz w:val="22"/>
          <w:szCs w:val="22"/>
        </w:rPr>
        <w:t>es principales causes de ce</w:t>
      </w:r>
      <w:r w:rsidR="006F0839">
        <w:rPr>
          <w:sz w:val="22"/>
          <w:szCs w:val="22"/>
        </w:rPr>
        <w:t xml:space="preserve"> problème sont</w:t>
      </w:r>
      <w:r>
        <w:rPr>
          <w:sz w:val="22"/>
          <w:szCs w:val="22"/>
        </w:rPr>
        <w:t xml:space="preserve"> : </w:t>
      </w:r>
      <w:r w:rsidRPr="00055EE4">
        <w:rPr>
          <w:i/>
          <w:sz w:val="22"/>
          <w:szCs w:val="22"/>
        </w:rPr>
        <w:t>La forte centralisation du dispositif de coordination des opérations ; La formation incomplète/inadaptée des FDS aux nouveaux défis sécuritaires</w:t>
      </w:r>
      <w:r w:rsidRPr="00055EE4">
        <w:rPr>
          <w:i/>
        </w:rPr>
        <w:t> ; La f</w:t>
      </w:r>
      <w:r w:rsidRPr="00055EE4">
        <w:rPr>
          <w:i/>
          <w:sz w:val="22"/>
          <w:szCs w:val="22"/>
        </w:rPr>
        <w:t>aiblesse du système de renseignement militaire ;</w:t>
      </w:r>
      <w:r w:rsidRPr="00055EE4">
        <w:rPr>
          <w:i/>
        </w:rPr>
        <w:t xml:space="preserve"> La f</w:t>
      </w:r>
      <w:r w:rsidRPr="00055EE4">
        <w:rPr>
          <w:i/>
          <w:sz w:val="22"/>
          <w:szCs w:val="22"/>
        </w:rPr>
        <w:t>aiblesse dans la mise en œuvre du dispositif sécuritaire</w:t>
      </w:r>
      <w:r>
        <w:rPr>
          <w:i/>
          <w:sz w:val="22"/>
          <w:szCs w:val="22"/>
        </w:rPr>
        <w:t> </w:t>
      </w:r>
      <w:r w:rsidRPr="00C7554A">
        <w:rPr>
          <w:i/>
          <w:sz w:val="22"/>
          <w:szCs w:val="22"/>
        </w:rPr>
        <w:t>; La complexité des conflits (l'extrémisme violent inter/intracommunautaire et des pesanteurs ethno-socio-culturelles) ; Les barrières sociales et culturelles par peur de représailles des groupes terroristes et extrémistes</w:t>
      </w:r>
      <w:r>
        <w:rPr>
          <w:sz w:val="22"/>
          <w:szCs w:val="22"/>
        </w:rPr>
        <w:t>.</w:t>
      </w:r>
    </w:p>
    <w:p w14:paraId="57A13BD4" w14:textId="77777777" w:rsidR="0028280C" w:rsidRPr="00E25B1F" w:rsidRDefault="0028280C" w:rsidP="00E25B1F">
      <w:pPr>
        <w:pStyle w:val="Titre3"/>
        <w:rPr>
          <w:rFonts w:ascii="Bernard MT Condensed" w:hAnsi="Bernard MT Condensed"/>
        </w:rPr>
      </w:pPr>
      <w:bookmarkStart w:id="81" w:name="_Toc86687717"/>
      <w:bookmarkStart w:id="82" w:name="_Toc89479398"/>
      <w:bookmarkStart w:id="83" w:name="_Toc89480895"/>
      <w:bookmarkStart w:id="84" w:name="_Toc94480137"/>
      <w:bookmarkStart w:id="85" w:name="_Toc94481798"/>
      <w:bookmarkStart w:id="86" w:name="_Toc94482061"/>
      <w:r w:rsidRPr="00E25B1F">
        <w:rPr>
          <w:rFonts w:ascii="Bernard MT Condensed" w:hAnsi="Bernard MT Condensed"/>
        </w:rPr>
        <w:t>I.3.3 - Etat des lieux de la gouvernance migratoire</w:t>
      </w:r>
      <w:bookmarkEnd w:id="81"/>
      <w:r w:rsidRPr="00E25B1F">
        <w:rPr>
          <w:rFonts w:ascii="Bernard MT Condensed" w:hAnsi="Bernard MT Condensed"/>
        </w:rPr>
        <w:t xml:space="preserve"> et de l’asile</w:t>
      </w:r>
      <w:bookmarkEnd w:id="82"/>
      <w:bookmarkEnd w:id="83"/>
      <w:bookmarkEnd w:id="84"/>
      <w:bookmarkEnd w:id="85"/>
      <w:bookmarkEnd w:id="86"/>
    </w:p>
    <w:p w14:paraId="74E93D22" w14:textId="2DCAD204" w:rsidR="0028280C" w:rsidRPr="00081210" w:rsidRDefault="00291F0C" w:rsidP="0028280C">
      <w:pPr>
        <w:pStyle w:val="NormalWeb"/>
        <w:jc w:val="both"/>
        <w:rPr>
          <w:sz w:val="22"/>
          <w:szCs w:val="22"/>
        </w:rPr>
      </w:pPr>
      <w:r>
        <w:rPr>
          <w:sz w:val="22"/>
          <w:szCs w:val="22"/>
        </w:rPr>
        <w:t xml:space="preserve">Le </w:t>
      </w:r>
      <w:r w:rsidR="0028280C" w:rsidRPr="009E1DAA">
        <w:rPr>
          <w:sz w:val="22"/>
          <w:szCs w:val="22"/>
        </w:rPr>
        <w:t xml:space="preserve">Niger </w:t>
      </w:r>
      <w:r w:rsidR="0028280C" w:rsidRPr="00213BE3">
        <w:rPr>
          <w:sz w:val="22"/>
          <w:szCs w:val="22"/>
        </w:rPr>
        <w:t>est</w:t>
      </w:r>
      <w:r w:rsidR="0028280C" w:rsidRPr="009E1DAA">
        <w:rPr>
          <w:sz w:val="22"/>
          <w:szCs w:val="22"/>
        </w:rPr>
        <w:t xml:space="preserve"> un pays d’</w:t>
      </w:r>
      <w:r w:rsidR="0028280C" w:rsidRPr="002D108A">
        <w:rPr>
          <w:sz w:val="22"/>
          <w:szCs w:val="22"/>
        </w:rPr>
        <w:t>accueil</w:t>
      </w:r>
      <w:r>
        <w:rPr>
          <w:sz w:val="22"/>
          <w:szCs w:val="22"/>
        </w:rPr>
        <w:t>/d’asile pour les réfugié</w:t>
      </w:r>
      <w:r w:rsidRPr="009E1DAA">
        <w:rPr>
          <w:sz w:val="22"/>
          <w:szCs w:val="22"/>
        </w:rPr>
        <w:t>s</w:t>
      </w:r>
      <w:r w:rsidR="0028280C" w:rsidRPr="009E1DAA">
        <w:rPr>
          <w:sz w:val="22"/>
          <w:szCs w:val="22"/>
        </w:rPr>
        <w:t xml:space="preserve"> et demandeurs d’asile y compris</w:t>
      </w:r>
      <w:r w:rsidR="0028280C">
        <w:rPr>
          <w:sz w:val="22"/>
          <w:szCs w:val="22"/>
        </w:rPr>
        <w:t xml:space="preserve"> </w:t>
      </w:r>
      <w:r>
        <w:rPr>
          <w:sz w:val="22"/>
          <w:szCs w:val="22"/>
        </w:rPr>
        <w:t xml:space="preserve">pour </w:t>
      </w:r>
      <w:r w:rsidR="0028280C">
        <w:rPr>
          <w:sz w:val="22"/>
          <w:szCs w:val="22"/>
        </w:rPr>
        <w:t>l’application du droit d’asile au sein des mouvements mixtes pour la protection et l’assistance des personnes en besoin de protection internationale, en raison des crises sécuritaires au</w:t>
      </w:r>
      <w:r w:rsidR="0028280C" w:rsidRPr="009E1DAA">
        <w:rPr>
          <w:sz w:val="22"/>
          <w:szCs w:val="22"/>
        </w:rPr>
        <w:t xml:space="preserve"> Mali, </w:t>
      </w:r>
      <w:r w:rsidR="0028280C">
        <w:rPr>
          <w:sz w:val="22"/>
          <w:szCs w:val="22"/>
        </w:rPr>
        <w:t>au N</w:t>
      </w:r>
      <w:r w:rsidR="0028280C" w:rsidRPr="009E1DAA">
        <w:rPr>
          <w:sz w:val="22"/>
          <w:szCs w:val="22"/>
        </w:rPr>
        <w:t xml:space="preserve">igeria, </w:t>
      </w:r>
      <w:r w:rsidR="0028280C">
        <w:rPr>
          <w:sz w:val="22"/>
          <w:szCs w:val="22"/>
        </w:rPr>
        <w:t xml:space="preserve">au Tchad, en </w:t>
      </w:r>
      <w:r w:rsidR="0028280C" w:rsidRPr="009E1DAA">
        <w:rPr>
          <w:sz w:val="22"/>
          <w:szCs w:val="22"/>
        </w:rPr>
        <w:t>Liby</w:t>
      </w:r>
      <w:r w:rsidR="0028280C">
        <w:rPr>
          <w:sz w:val="22"/>
          <w:szCs w:val="22"/>
        </w:rPr>
        <w:t>e</w:t>
      </w:r>
      <w:r w:rsidR="0028280C" w:rsidRPr="009E1DAA">
        <w:rPr>
          <w:sz w:val="22"/>
          <w:szCs w:val="22"/>
        </w:rPr>
        <w:t xml:space="preserve">, </w:t>
      </w:r>
      <w:r w:rsidR="0028280C">
        <w:rPr>
          <w:sz w:val="22"/>
          <w:szCs w:val="22"/>
        </w:rPr>
        <w:t xml:space="preserve">et au </w:t>
      </w:r>
      <w:r w:rsidR="0028280C" w:rsidRPr="009E1DAA">
        <w:rPr>
          <w:sz w:val="22"/>
          <w:szCs w:val="22"/>
        </w:rPr>
        <w:t>Burkina Faso</w:t>
      </w:r>
      <w:r w:rsidR="0028280C">
        <w:rPr>
          <w:sz w:val="22"/>
          <w:szCs w:val="22"/>
        </w:rPr>
        <w:t>.</w:t>
      </w:r>
    </w:p>
    <w:p w14:paraId="32DB3797" w14:textId="77777777" w:rsidR="0028280C" w:rsidRPr="00FF7C3A" w:rsidRDefault="0028280C" w:rsidP="0028280C">
      <w:pPr>
        <w:pStyle w:val="Lgende"/>
        <w:rPr>
          <w:rFonts w:ascii="Times New Roman" w:hAnsi="Times New Roman"/>
        </w:rPr>
      </w:pPr>
      <w:r w:rsidRPr="00FF7C3A">
        <w:rPr>
          <w:rFonts w:ascii="Times New Roman" w:hAnsi="Times New Roman"/>
        </w:rPr>
        <w:lastRenderedPageBreak/>
        <w:t xml:space="preserve">Tableau </w:t>
      </w:r>
      <w:r w:rsidRPr="00FF7C3A">
        <w:rPr>
          <w:rFonts w:ascii="Times New Roman" w:hAnsi="Times New Roman"/>
        </w:rPr>
        <w:fldChar w:fldCharType="begin"/>
      </w:r>
      <w:r w:rsidRPr="00FF7C3A">
        <w:rPr>
          <w:rFonts w:ascii="Times New Roman" w:hAnsi="Times New Roman"/>
        </w:rPr>
        <w:instrText xml:space="preserve"> SEQ Tableau \* ARABIC </w:instrText>
      </w:r>
      <w:r w:rsidRPr="00FF7C3A">
        <w:rPr>
          <w:rFonts w:ascii="Times New Roman" w:hAnsi="Times New Roman"/>
        </w:rPr>
        <w:fldChar w:fldCharType="separate"/>
      </w:r>
      <w:r w:rsidRPr="00FF7C3A">
        <w:rPr>
          <w:rFonts w:ascii="Times New Roman" w:hAnsi="Times New Roman"/>
          <w:noProof/>
        </w:rPr>
        <w:t>1</w:t>
      </w:r>
      <w:r w:rsidRPr="00FF7C3A">
        <w:rPr>
          <w:rFonts w:ascii="Times New Roman" w:hAnsi="Times New Roman"/>
        </w:rPr>
        <w:fldChar w:fldCharType="end"/>
      </w:r>
      <w:r w:rsidRPr="00FF7C3A">
        <w:rPr>
          <w:rFonts w:ascii="Times New Roman" w:hAnsi="Times New Roman"/>
        </w:rPr>
        <w:t xml:space="preserve"> : Suivi des flux migratoires 2016 - 2021 au Niger (DTM, 2021)</w:t>
      </w:r>
    </w:p>
    <w:p w14:paraId="1EF0679C" w14:textId="77777777" w:rsidR="0028280C" w:rsidRPr="00FF7C3A" w:rsidRDefault="0028280C" w:rsidP="0028280C">
      <w:pPr>
        <w:jc w:val="both"/>
        <w:rPr>
          <w:rFonts w:ascii="Times New Roman" w:eastAsia="Calibri" w:hAnsi="Times New Roman" w:cs="Times New Roman"/>
        </w:rPr>
      </w:pPr>
      <w:r w:rsidRPr="00FF7C3A">
        <w:rPr>
          <w:rFonts w:ascii="Times New Roman" w:hAnsi="Times New Roman" w:cs="Times New Roman"/>
          <w:noProof/>
          <w:lang w:eastAsia="fr-FR"/>
        </w:rPr>
        <w:drawing>
          <wp:inline distT="0" distB="0" distL="0" distR="0" wp14:anchorId="3857FECA" wp14:editId="22D6562A">
            <wp:extent cx="5772150" cy="1511935"/>
            <wp:effectExtent l="0" t="0" r="0" b="0"/>
            <wp:docPr id="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72150" cy="1511935"/>
                    </a:xfrm>
                    <a:prstGeom prst="rect">
                      <a:avLst/>
                    </a:prstGeom>
                  </pic:spPr>
                </pic:pic>
              </a:graphicData>
            </a:graphic>
          </wp:inline>
        </w:drawing>
      </w:r>
    </w:p>
    <w:p w14:paraId="759D9C2F" w14:textId="4171D39E" w:rsidR="0028280C" w:rsidRPr="00F92586" w:rsidRDefault="0028280C" w:rsidP="00F92586">
      <w:pPr>
        <w:pStyle w:val="NormalWeb"/>
        <w:jc w:val="both"/>
        <w:rPr>
          <w:sz w:val="22"/>
          <w:szCs w:val="22"/>
        </w:rPr>
      </w:pPr>
      <w:r w:rsidRPr="000145CE">
        <w:rPr>
          <w:sz w:val="22"/>
          <w:szCs w:val="22"/>
        </w:rPr>
        <w:t>Les Objectifs de développement dura</w:t>
      </w:r>
      <w:r w:rsidR="00291F0C">
        <w:rPr>
          <w:sz w:val="22"/>
          <w:szCs w:val="22"/>
        </w:rPr>
        <w:t>ble (ODD) et l’engagement de « N</w:t>
      </w:r>
      <w:r w:rsidRPr="000145CE">
        <w:rPr>
          <w:sz w:val="22"/>
          <w:szCs w:val="22"/>
        </w:rPr>
        <w:t>e laisser personne de côté » ne pourront</w:t>
      </w:r>
      <w:r w:rsidR="00291F0C">
        <w:rPr>
          <w:sz w:val="22"/>
          <w:szCs w:val="22"/>
        </w:rPr>
        <w:t xml:space="preserve"> être atteints sans tenir</w:t>
      </w:r>
      <w:r w:rsidRPr="000145CE">
        <w:rPr>
          <w:sz w:val="22"/>
          <w:szCs w:val="22"/>
        </w:rPr>
        <w:t xml:space="preserve"> compte de la migration</w:t>
      </w:r>
      <w:r>
        <w:rPr>
          <w:sz w:val="22"/>
          <w:szCs w:val="22"/>
        </w:rPr>
        <w:t>,</w:t>
      </w:r>
      <w:r w:rsidRPr="00B63D6E">
        <w:rPr>
          <w:sz w:val="22"/>
          <w:szCs w:val="22"/>
        </w:rPr>
        <w:t xml:space="preserve"> </w:t>
      </w:r>
      <w:r>
        <w:rPr>
          <w:sz w:val="22"/>
          <w:szCs w:val="22"/>
        </w:rPr>
        <w:t>de l’asile et des déplacements forcés (migrants, refugies, demandeurs d’asile et personnes déplacées internes)</w:t>
      </w:r>
      <w:r w:rsidR="00291F0C">
        <w:rPr>
          <w:sz w:val="22"/>
          <w:szCs w:val="22"/>
        </w:rPr>
        <w:t>. L’</w:t>
      </w:r>
      <w:r w:rsidRPr="000145CE">
        <w:rPr>
          <w:sz w:val="22"/>
          <w:szCs w:val="22"/>
        </w:rPr>
        <w:t xml:space="preserve">Agenda 2030 souligne l’importance de préserver les droits et les besoins des migrants en garantissant l’accès égal de tous </w:t>
      </w:r>
      <w:r w:rsidR="00291F0C">
        <w:rPr>
          <w:sz w:val="22"/>
          <w:szCs w:val="22"/>
        </w:rPr>
        <w:t xml:space="preserve">y compris les </w:t>
      </w:r>
      <w:r w:rsidR="004D0867">
        <w:rPr>
          <w:sz w:val="22"/>
          <w:szCs w:val="22"/>
        </w:rPr>
        <w:t>réfugiés</w:t>
      </w:r>
      <w:r>
        <w:rPr>
          <w:sz w:val="22"/>
          <w:szCs w:val="22"/>
        </w:rPr>
        <w:t xml:space="preserve"> </w:t>
      </w:r>
      <w:r w:rsidRPr="000145CE">
        <w:rPr>
          <w:sz w:val="22"/>
          <w:szCs w:val="22"/>
        </w:rPr>
        <w:t xml:space="preserve">à l’éducation, à la santé, à un travail décent, aux moyens de subsistance et à la </w:t>
      </w:r>
      <w:r w:rsidR="00F92586">
        <w:rPr>
          <w:sz w:val="22"/>
          <w:szCs w:val="22"/>
        </w:rPr>
        <w:t>protection sociale.</w:t>
      </w:r>
    </w:p>
    <w:p w14:paraId="3A7DB1F5" w14:textId="1A1932F7" w:rsidR="0028280C" w:rsidRPr="00B63D6E" w:rsidRDefault="0028280C" w:rsidP="0028280C">
      <w:pPr>
        <w:jc w:val="both"/>
        <w:rPr>
          <w:rFonts w:ascii="Times New Roman" w:hAnsi="Times New Roman" w:cs="Times New Roman"/>
          <w:noProof/>
        </w:rPr>
      </w:pPr>
      <w:r w:rsidRPr="00B63D6E">
        <w:rPr>
          <w:rFonts w:ascii="Times New Roman" w:hAnsi="Times New Roman" w:cs="Times New Roman"/>
          <w:noProof/>
        </w:rPr>
        <w:t>S’agissant du cadre insitutionnel</w:t>
      </w:r>
      <w:r w:rsidR="00291F0C">
        <w:rPr>
          <w:rFonts w:ascii="Times New Roman" w:hAnsi="Times New Roman" w:cs="Times New Roman"/>
          <w:noProof/>
        </w:rPr>
        <w:t xml:space="preserve"> de l’asile, le Niger est</w:t>
      </w:r>
      <w:r w:rsidRPr="00B63D6E">
        <w:rPr>
          <w:rFonts w:ascii="Times New Roman" w:hAnsi="Times New Roman" w:cs="Times New Roman"/>
          <w:noProof/>
        </w:rPr>
        <w:t xml:space="preserve"> signataire (sans réserve) de la Convention de 1951 relative au statut des réfugiés et de son Protocole de 1967, ainsi que de la Convention de l'OUA de 1969 régissant les aspects spécifiques des problèmes d</w:t>
      </w:r>
      <w:r w:rsidR="00F0249E">
        <w:rPr>
          <w:rFonts w:ascii="Times New Roman" w:hAnsi="Times New Roman" w:cs="Times New Roman"/>
          <w:noProof/>
        </w:rPr>
        <w:t>es réfugiés en Afrique. Le pays</w:t>
      </w:r>
      <w:r w:rsidRPr="00B63D6E">
        <w:rPr>
          <w:rFonts w:ascii="Times New Roman" w:hAnsi="Times New Roman" w:cs="Times New Roman"/>
          <w:noProof/>
        </w:rPr>
        <w:t xml:space="preserve"> a promulgué la loi n° 97-016 relative au statut des réfugiés le 20 juin 1997 (loi sur les réfugiés) et a adopté un décret d'application n° 98-382/PRN/MI/AT le 24 décembre 1998. En outre, l'ordonnance n° 127/MI/D/DEC-R de mars 2006 (ordonnance de mars 2006) intègre les principes de base et garantit l'accès des réfugiés à la propriété, à la sécurité, aux tribunaux, aux services de base et à la liberté d'expression et de mouvement sans discrimination.</w:t>
      </w:r>
    </w:p>
    <w:p w14:paraId="1E4A8063" w14:textId="7353DCEF" w:rsidR="0028280C" w:rsidRPr="00B63D6E" w:rsidRDefault="0028280C" w:rsidP="0028280C">
      <w:pPr>
        <w:jc w:val="both"/>
        <w:rPr>
          <w:rFonts w:ascii="Times New Roman" w:hAnsi="Times New Roman" w:cs="Times New Roman"/>
          <w:noProof/>
        </w:rPr>
      </w:pPr>
      <w:r w:rsidRPr="00B63D6E">
        <w:rPr>
          <w:rFonts w:ascii="Times New Roman" w:hAnsi="Times New Roman" w:cs="Times New Roman"/>
          <w:noProof/>
        </w:rPr>
        <w:t>Le Niger est également signataire de la Convention de 1989 sur les droits de l'enfant</w:t>
      </w:r>
      <w:r>
        <w:rPr>
          <w:rFonts w:ascii="Times New Roman" w:hAnsi="Times New Roman" w:cs="Times New Roman"/>
          <w:noProof/>
        </w:rPr>
        <w:t>. Il</w:t>
      </w:r>
      <w:r w:rsidRPr="00B63D6E">
        <w:rPr>
          <w:rFonts w:ascii="Times New Roman" w:hAnsi="Times New Roman" w:cs="Times New Roman"/>
          <w:noProof/>
        </w:rPr>
        <w:t xml:space="preserve"> est également signataire de la Convention n° 182 de l'OIT sur les pires formes de travail des enfants (1999). La Commission Nationale d'Eligibilité (CNE) a été créée en vertu de l'article 5 de la loi sur les réfugiés et ses fonctions ont été définies dans l'arrêté 208/MI/AT/SP/CNE du 14 juillet 2000.  L'ordonnance de mars 2006 confère à la CNE le mandat d'enregistrer les réfugiés et de statuer en première instance sur le statut de réfugié. La CNE est un organe collégial compo</w:t>
      </w:r>
      <w:r w:rsidR="00F0249E">
        <w:rPr>
          <w:rFonts w:ascii="Times New Roman" w:hAnsi="Times New Roman" w:cs="Times New Roman"/>
          <w:noProof/>
        </w:rPr>
        <w:t>sé de 17 personnes représentant l</w:t>
      </w:r>
      <w:r w:rsidRPr="00B63D6E">
        <w:rPr>
          <w:rFonts w:ascii="Times New Roman" w:hAnsi="Times New Roman" w:cs="Times New Roman"/>
          <w:noProof/>
        </w:rPr>
        <w:t xml:space="preserve">es différents ministères ainsi que des représentants de la société civile. Le HCR est membre de la Commission avec un rôle d'observateur et de conseiller. </w:t>
      </w:r>
      <w:r w:rsidRPr="00B63D6E">
        <w:rPr>
          <w:rFonts w:ascii="Times New Roman" w:hAnsi="Times New Roman" w:cs="Times New Roman"/>
        </w:rPr>
        <w:t xml:space="preserve">Le Niger a été partie au Forum mondial sur les réfugiés et est signataire du Pacte Mondial sur les Réfugiés pour lequel il a pris un certain nombre d’engagements qui sont actuellement mis en œuvre </w:t>
      </w:r>
      <w:r w:rsidRPr="00F0249E">
        <w:rPr>
          <w:rFonts w:ascii="Times New Roman" w:hAnsi="Times New Roman" w:cs="Times New Roman"/>
        </w:rPr>
        <w:t>notamment</w:t>
      </w:r>
      <w:r w:rsidRPr="00F0249E">
        <w:rPr>
          <w:rFonts w:ascii="Times New Roman" w:hAnsi="Times New Roman" w:cs="Times New Roman"/>
          <w:iCs/>
        </w:rPr>
        <w:t xml:space="preserve"> </w:t>
      </w:r>
      <w:r w:rsidR="00F0249E" w:rsidRPr="00F0249E">
        <w:rPr>
          <w:rFonts w:ascii="Times New Roman" w:hAnsi="Times New Roman" w:cs="Times New Roman"/>
          <w:iCs/>
        </w:rPr>
        <w:t>pour</w:t>
      </w:r>
      <w:r w:rsidR="00F0249E">
        <w:rPr>
          <w:rFonts w:ascii="Times New Roman" w:hAnsi="Times New Roman" w:cs="Times New Roman"/>
          <w:i/>
          <w:iCs/>
        </w:rPr>
        <w:t xml:space="preserve"> </w:t>
      </w:r>
      <w:r w:rsidRPr="009E1DAA">
        <w:rPr>
          <w:rFonts w:ascii="Times New Roman" w:hAnsi="Times New Roman" w:cs="Times New Roman"/>
          <w:noProof/>
        </w:rPr>
        <w:t>maintenir le programme ETM, reformer son système d’asile et assurer l’accès légal au foncier pour le logement de 40 000 réfugiés.</w:t>
      </w:r>
    </w:p>
    <w:p w14:paraId="2B2C0998" w14:textId="7A2BF6CC" w:rsidR="0028280C" w:rsidRPr="000145CE" w:rsidRDefault="0028280C" w:rsidP="0028280C">
      <w:pPr>
        <w:pStyle w:val="NormalWeb"/>
        <w:jc w:val="both"/>
        <w:rPr>
          <w:sz w:val="22"/>
          <w:szCs w:val="22"/>
        </w:rPr>
      </w:pPr>
      <w:r w:rsidRPr="000145CE">
        <w:rPr>
          <w:sz w:val="22"/>
          <w:szCs w:val="22"/>
        </w:rPr>
        <w:t>Sur le plan institutionnel, de grands progrès sont en cours avec l’Etat du Niger qui, en 2018, a signé le Pacte Mondial pour les migrations sûres, ordonnées et régulières lui conférant une place parmi les pays cha</w:t>
      </w:r>
      <w:r w:rsidR="00F0249E">
        <w:rPr>
          <w:sz w:val="22"/>
          <w:szCs w:val="22"/>
        </w:rPr>
        <w:t>mpions en Afrique pour la mise en</w:t>
      </w:r>
      <w:r w:rsidRPr="000145CE">
        <w:rPr>
          <w:sz w:val="22"/>
          <w:szCs w:val="22"/>
        </w:rPr>
        <w:t xml:space="preserve"> œuvre du pacte</w:t>
      </w:r>
      <w:r w:rsidRPr="000145CE">
        <w:rPr>
          <w:sz w:val="22"/>
          <w:szCs w:val="22"/>
        </w:rPr>
        <w:footnoteReference w:id="10"/>
      </w:r>
      <w:r w:rsidRPr="000145CE">
        <w:rPr>
          <w:sz w:val="22"/>
          <w:szCs w:val="22"/>
        </w:rPr>
        <w:t xml:space="preserve">. </w:t>
      </w:r>
      <w:r w:rsidR="00F0249E">
        <w:rPr>
          <w:sz w:val="22"/>
          <w:szCs w:val="22"/>
        </w:rPr>
        <w:t xml:space="preserve">Eu égard </w:t>
      </w:r>
      <w:r w:rsidRPr="000145CE">
        <w:rPr>
          <w:sz w:val="22"/>
          <w:szCs w:val="22"/>
        </w:rPr>
        <w:t xml:space="preserve">au Pacte Mondial, le Niger s’est doté d’une politique nationale de la migration 2020-2035 en vue de contribuer durablement à l’amélioration des conditions de vie des migrants et communautés hôtes. Par ailleurs, le Niger a été le premier pays d’Afrique à adopter une loi nationale, la loi 2018-74 sur la protection et l’assistance des déplacées internes. Aussi, le </w:t>
      </w:r>
      <w:r w:rsidR="00F0249E">
        <w:rPr>
          <w:sz w:val="22"/>
          <w:szCs w:val="22"/>
        </w:rPr>
        <w:t xml:space="preserve">pays </w:t>
      </w:r>
      <w:r w:rsidRPr="000145CE">
        <w:rPr>
          <w:sz w:val="22"/>
          <w:szCs w:val="22"/>
        </w:rPr>
        <w:t>dispose de six (6) postes de Police frontaliers construits et équipés dans les localités de Assamaka, Dan Barto, Tinkim, Farou, gaidam et Kongokiré ; et trois (3) postes réhabilités à Bangui, Adare et Sassoumbroum.</w:t>
      </w:r>
    </w:p>
    <w:p w14:paraId="5B484E9A" w14:textId="0579B026" w:rsidR="00F936CF" w:rsidRDefault="0028280C" w:rsidP="0028280C">
      <w:pPr>
        <w:pStyle w:val="NormalWeb"/>
        <w:jc w:val="both"/>
        <w:rPr>
          <w:sz w:val="22"/>
          <w:szCs w:val="22"/>
        </w:rPr>
      </w:pPr>
      <w:r w:rsidRPr="000145CE">
        <w:rPr>
          <w:sz w:val="22"/>
          <w:szCs w:val="22"/>
        </w:rPr>
        <w:t>Toutefois, malgré cet environnement institutionnel riche, les tendances migratoires du Niger ont considérablement évolué entre 2016 et 2021 en rais</w:t>
      </w:r>
      <w:r w:rsidR="00F0249E">
        <w:rPr>
          <w:sz w:val="22"/>
          <w:szCs w:val="22"/>
        </w:rPr>
        <w:t>on de différents facteurs : i) L</w:t>
      </w:r>
      <w:r w:rsidRPr="000145CE">
        <w:rPr>
          <w:sz w:val="22"/>
          <w:szCs w:val="22"/>
        </w:rPr>
        <w:t xml:space="preserve">a crise en Libye et </w:t>
      </w:r>
      <w:r w:rsidR="00F87E56" w:rsidRPr="00F87E56">
        <w:rPr>
          <w:noProof/>
          <w:sz w:val="22"/>
          <w:szCs w:val="22"/>
        </w:rPr>
        <w:lastRenderedPageBreak/>
        <mc:AlternateContent>
          <mc:Choice Requires="wps">
            <w:drawing>
              <wp:anchor distT="45720" distB="45720" distL="114300" distR="114300" simplePos="0" relativeHeight="251663360" behindDoc="0" locked="0" layoutInCell="1" allowOverlap="1" wp14:anchorId="2867605F" wp14:editId="4EACB6FB">
                <wp:simplePos x="0" y="0"/>
                <wp:positionH relativeFrom="column">
                  <wp:posOffset>3335020</wp:posOffset>
                </wp:positionH>
                <wp:positionV relativeFrom="paragraph">
                  <wp:posOffset>29210</wp:posOffset>
                </wp:positionV>
                <wp:extent cx="2360930" cy="3346450"/>
                <wp:effectExtent l="0" t="0" r="12700" b="2540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346450"/>
                        </a:xfrm>
                        <a:prstGeom prst="rect">
                          <a:avLst/>
                        </a:prstGeom>
                        <a:solidFill>
                          <a:schemeClr val="bg1">
                            <a:lumMod val="85000"/>
                          </a:schemeClr>
                        </a:solidFill>
                        <a:ln w="9525">
                          <a:solidFill>
                            <a:srgbClr val="000000"/>
                          </a:solidFill>
                          <a:miter lim="800000"/>
                          <a:headEnd/>
                          <a:tailEnd/>
                        </a:ln>
                      </wps:spPr>
                      <wps:txbx>
                        <w:txbxContent>
                          <w:p w14:paraId="6BAC249F" w14:textId="77777777" w:rsidR="00E02FE2" w:rsidRPr="00F87E56" w:rsidRDefault="00E02FE2" w:rsidP="00F87E56">
                            <w:pPr>
                              <w:jc w:val="both"/>
                              <w:rPr>
                                <w:i/>
                              </w:rPr>
                            </w:pPr>
                            <w:r w:rsidRPr="00F87E56">
                              <w:rPr>
                                <w:i/>
                              </w:rPr>
                              <w:t xml:space="preserve">Le Niger ne disposent pas de données fiables, désagrégées et actualisées sur les migrations, et les données existantes sont difficiles à comparer et à agréger car les définitions des migrations, les périodes de référence et les systèmes de classification ne sont pas harmonisés entre les pays. </w:t>
                            </w:r>
                          </w:p>
                          <w:p w14:paraId="26A09BA2" w14:textId="7048F9B1" w:rsidR="00E02FE2" w:rsidRPr="00F87E56" w:rsidRDefault="00E02FE2" w:rsidP="00F87E56">
                            <w:pPr>
                              <w:jc w:val="both"/>
                              <w:rPr>
                                <w:i/>
                              </w:rPr>
                            </w:pPr>
                            <w:r w:rsidRPr="00F87E56">
                              <w:rPr>
                                <w:i/>
                              </w:rPr>
                              <w:t>Le comité pour la protection des droits de tous les travailleurs migrants et des membres de leur famille lors de l’examen en septembre 2016 du rapport initial du Niger avait ainsi recommandé au Niger de mettre en place un système national d’information sur les migrations.</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2867605F" id="_x0000_t202" coordsize="21600,21600" o:spt="202" path="m,l,21600r21600,l21600,xe">
                <v:stroke joinstyle="miter"/>
                <v:path gradientshapeok="t" o:connecttype="rect"/>
              </v:shapetype>
              <v:shape id="Zone de texte 2" o:spid="_x0000_s1026" type="#_x0000_t202" style="position:absolute;left:0;text-align:left;margin-left:262.6pt;margin-top:2.3pt;width:185.9pt;height:263.5pt;z-index:25166336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" fillcolor="#d8d8d8 [2732]">
                <v:textbox>
                  <w:txbxContent>
                    <w:p w14:paraId="6BAC249F" w14:textId="77777777" w:rsidR="00E02FE2" w:rsidRPr="00F87E56" w:rsidRDefault="00E02FE2" w:rsidP="00F87E56">
                      <w:pPr>
                        <w:jc w:val="both"/>
                        <w:rPr>
                          <w:i/>
                        </w:rPr>
                      </w:pPr>
                      <w:r w:rsidRPr="00F87E56">
                        <w:rPr>
                          <w:i/>
                        </w:rPr>
                        <w:t xml:space="preserve">Le Niger ne disposent pas de données fiables, désagrégées et actualisées sur les migrations, et les données existantes sont difficiles à comparer et à agréger car les définitions des migrations, les périodes de référence et les systèmes de classification ne sont pas harmonisés entre les pays. </w:t>
                      </w:r>
                    </w:p>
                    <w:p w14:paraId="26A09BA2" w14:textId="7048F9B1" w:rsidR="00E02FE2" w:rsidRPr="00F87E56" w:rsidRDefault="00E02FE2" w:rsidP="00F87E56">
                      <w:pPr>
                        <w:jc w:val="both"/>
                        <w:rPr>
                          <w:i/>
                        </w:rPr>
                      </w:pPr>
                      <w:r w:rsidRPr="00F87E56">
                        <w:rPr>
                          <w:i/>
                        </w:rPr>
                        <w:t>Le comité pour la protection des droits de tous les travailleurs migrants et des membres de leur famille lors de l’examen en septembre 2016 du rapport initial du Niger avait ainsi recommandé au Niger de mettre en place un système national d’information sur les migrations.</w:t>
                      </w:r>
                    </w:p>
                  </w:txbxContent>
                </v:textbox>
                <w10:wrap type="square"/>
              </v:shape>
            </w:pict>
          </mc:Fallback>
        </mc:AlternateContent>
      </w:r>
      <w:r w:rsidRPr="000145CE">
        <w:rPr>
          <w:sz w:val="22"/>
          <w:szCs w:val="22"/>
        </w:rPr>
        <w:t xml:space="preserve">l'insécurité croissante dans les régions </w:t>
      </w:r>
      <w:r w:rsidR="00F0249E">
        <w:rPr>
          <w:sz w:val="22"/>
          <w:szCs w:val="22"/>
        </w:rPr>
        <w:t>frontalières depuis 2011 ; ii) L</w:t>
      </w:r>
      <w:r w:rsidRPr="000145CE">
        <w:rPr>
          <w:sz w:val="22"/>
          <w:szCs w:val="22"/>
        </w:rPr>
        <w:t>'adoption de la loi N°2015-36 par le Gouvernement du Niger qui criminalise le trafi</w:t>
      </w:r>
      <w:r w:rsidR="00F0249E">
        <w:rPr>
          <w:sz w:val="22"/>
          <w:szCs w:val="22"/>
        </w:rPr>
        <w:t>c illicite des migrants ; iii) L</w:t>
      </w:r>
      <w:r w:rsidRPr="000145CE">
        <w:rPr>
          <w:sz w:val="22"/>
          <w:szCs w:val="22"/>
        </w:rPr>
        <w:t>a découverte et la fermetur</w:t>
      </w:r>
      <w:r w:rsidR="00F0249E">
        <w:rPr>
          <w:sz w:val="22"/>
          <w:szCs w:val="22"/>
        </w:rPr>
        <w:t>e de mines d'or au Niger ; iv) L</w:t>
      </w:r>
      <w:r w:rsidRPr="000145CE">
        <w:rPr>
          <w:sz w:val="22"/>
          <w:szCs w:val="22"/>
        </w:rPr>
        <w:t>es politiques d'immigration plus strictes adoptées par l'Algérie et ; v) les pressions démographiques et climatiques. Particulièrement, depuis septembre 2016, en application de la loi N°2015-36, le Gouvernement du Niger a renforcé les mesures de contrôle et de répression à l’égard des trafiquants de migrants à travers l’arrestation des trafiquants et la confiscation des véhicules utilisés pour le transport de ces migrants. Si ces contrôles accrus ont eu pour effet direct une forte diminution des flux migratoires</w:t>
      </w:r>
      <w:r w:rsidRPr="000145CE">
        <w:rPr>
          <w:sz w:val="22"/>
          <w:szCs w:val="22"/>
        </w:rPr>
        <w:footnoteReference w:id="11"/>
      </w:r>
      <w:r w:rsidRPr="000145CE">
        <w:rPr>
          <w:sz w:val="22"/>
          <w:szCs w:val="22"/>
        </w:rPr>
        <w:t>, cela a néanmoins poussé les migrants à contourner les points de passages habituels et à emprunter de nouvelles routes plus dangereuses (moins de points d’eau etc.). En outre, en adoption d’une position plus ferme sur ses lois migratoires, depuis septembre 2017, l’Algérie procède à des expulsions collectives de migrants à la frontière avec le Niger, rendant les migrants encore plus vulnérables.</w:t>
      </w:r>
    </w:p>
    <w:p w14:paraId="6E964FA5" w14:textId="77777777" w:rsidR="0028280C" w:rsidRPr="00C7554A" w:rsidRDefault="0028280C" w:rsidP="0028280C">
      <w:pPr>
        <w:pStyle w:val="NormalWeb"/>
        <w:jc w:val="both"/>
        <w:rPr>
          <w:b/>
          <w:sz w:val="22"/>
          <w:szCs w:val="22"/>
        </w:rPr>
      </w:pPr>
      <w:r w:rsidRPr="00C7554A">
        <w:rPr>
          <w:b/>
          <w:sz w:val="22"/>
          <w:szCs w:val="22"/>
        </w:rPr>
        <w:t xml:space="preserve">Tableau </w:t>
      </w:r>
      <w:r w:rsidRPr="00C7554A">
        <w:rPr>
          <w:b/>
          <w:sz w:val="22"/>
          <w:szCs w:val="22"/>
        </w:rPr>
        <w:fldChar w:fldCharType="begin"/>
      </w:r>
      <w:r w:rsidRPr="00C7554A">
        <w:rPr>
          <w:b/>
          <w:sz w:val="22"/>
          <w:szCs w:val="22"/>
        </w:rPr>
        <w:instrText xml:space="preserve"> SEQ Tableau \* ARABIC </w:instrText>
      </w:r>
      <w:r w:rsidRPr="00C7554A">
        <w:rPr>
          <w:b/>
          <w:sz w:val="22"/>
          <w:szCs w:val="22"/>
        </w:rPr>
        <w:fldChar w:fldCharType="separate"/>
      </w:r>
      <w:r w:rsidRPr="00C7554A">
        <w:rPr>
          <w:b/>
          <w:sz w:val="22"/>
          <w:szCs w:val="22"/>
        </w:rPr>
        <w:t>2</w:t>
      </w:r>
      <w:r w:rsidRPr="00C7554A">
        <w:rPr>
          <w:b/>
          <w:sz w:val="22"/>
          <w:szCs w:val="22"/>
        </w:rPr>
        <w:fldChar w:fldCharType="end"/>
      </w:r>
      <w:r w:rsidRPr="00C7554A">
        <w:rPr>
          <w:b/>
          <w:sz w:val="22"/>
          <w:szCs w:val="22"/>
        </w:rPr>
        <w:t xml:space="preserve"> : Convois des rapatriés Nigérien de l’Algérie entre 2017 et 2021 (DTM, 2021)</w:t>
      </w:r>
    </w:p>
    <w:p w14:paraId="177A57F1" w14:textId="77777777" w:rsidR="0028280C" w:rsidRPr="000145CE" w:rsidRDefault="0028280C" w:rsidP="0028280C">
      <w:pPr>
        <w:pStyle w:val="NormalWeb"/>
        <w:jc w:val="center"/>
        <w:rPr>
          <w:sz w:val="22"/>
          <w:szCs w:val="22"/>
        </w:rPr>
      </w:pPr>
      <w:r w:rsidRPr="000145CE">
        <w:rPr>
          <w:noProof/>
          <w:sz w:val="22"/>
          <w:szCs w:val="22"/>
        </w:rPr>
        <w:drawing>
          <wp:inline distT="0" distB="0" distL="0" distR="0" wp14:anchorId="13B44760" wp14:editId="0622F79C">
            <wp:extent cx="4798060" cy="883920"/>
            <wp:effectExtent l="0" t="0" r="2540" b="0"/>
            <wp:docPr id="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798060" cy="883920"/>
                    </a:xfrm>
                    <a:prstGeom prst="rect">
                      <a:avLst/>
                    </a:prstGeom>
                    <a:noFill/>
                  </pic:spPr>
                </pic:pic>
              </a:graphicData>
            </a:graphic>
          </wp:inline>
        </w:drawing>
      </w:r>
    </w:p>
    <w:p w14:paraId="4B8C7AB6" w14:textId="77777777" w:rsidR="0028280C" w:rsidRPr="000145CE" w:rsidRDefault="0028280C" w:rsidP="0028280C">
      <w:pPr>
        <w:pStyle w:val="NormalWeb"/>
        <w:jc w:val="both"/>
        <w:rPr>
          <w:sz w:val="22"/>
          <w:szCs w:val="22"/>
        </w:rPr>
      </w:pPr>
      <w:r w:rsidRPr="000145CE">
        <w:rPr>
          <w:sz w:val="22"/>
          <w:szCs w:val="22"/>
        </w:rPr>
        <w:t>En plus des retours d’Algérie et de Lybie, le Gouvernement du Niger et ses partenaires ont facilité les opérations de sauvetages humanitaires des migrants comme présenté dans les statistiques ci-dessous.</w:t>
      </w:r>
    </w:p>
    <w:p w14:paraId="674C80DD" w14:textId="77777777" w:rsidR="0028280C" w:rsidRPr="00C7554A" w:rsidRDefault="0028280C" w:rsidP="0028280C">
      <w:pPr>
        <w:pStyle w:val="NormalWeb"/>
        <w:jc w:val="both"/>
        <w:rPr>
          <w:b/>
          <w:sz w:val="22"/>
          <w:szCs w:val="22"/>
        </w:rPr>
      </w:pPr>
      <w:r w:rsidRPr="00C7554A">
        <w:rPr>
          <w:b/>
          <w:sz w:val="22"/>
          <w:szCs w:val="22"/>
        </w:rPr>
        <w:t xml:space="preserve">Tableau </w:t>
      </w:r>
      <w:r w:rsidRPr="00C7554A">
        <w:rPr>
          <w:b/>
          <w:sz w:val="22"/>
          <w:szCs w:val="22"/>
        </w:rPr>
        <w:fldChar w:fldCharType="begin"/>
      </w:r>
      <w:r w:rsidRPr="00C7554A">
        <w:rPr>
          <w:b/>
          <w:sz w:val="22"/>
          <w:szCs w:val="22"/>
        </w:rPr>
        <w:instrText xml:space="preserve"> SEQ Tableau \* ARABIC </w:instrText>
      </w:r>
      <w:r w:rsidRPr="00C7554A">
        <w:rPr>
          <w:b/>
          <w:sz w:val="22"/>
          <w:szCs w:val="22"/>
        </w:rPr>
        <w:fldChar w:fldCharType="separate"/>
      </w:r>
      <w:r w:rsidRPr="00C7554A">
        <w:rPr>
          <w:b/>
          <w:sz w:val="22"/>
          <w:szCs w:val="22"/>
        </w:rPr>
        <w:t>3</w:t>
      </w:r>
      <w:r w:rsidRPr="00C7554A">
        <w:rPr>
          <w:b/>
          <w:sz w:val="22"/>
          <w:szCs w:val="22"/>
        </w:rPr>
        <w:fldChar w:fldCharType="end"/>
      </w:r>
      <w:r w:rsidRPr="00C7554A">
        <w:rPr>
          <w:b/>
          <w:sz w:val="22"/>
          <w:szCs w:val="22"/>
        </w:rPr>
        <w:t xml:space="preserve"> : Opérations humanitaires de sauvetage (DTM, 2021)</w:t>
      </w:r>
    </w:p>
    <w:p w14:paraId="7CF89BF0" w14:textId="77777777" w:rsidR="0028280C" w:rsidRPr="000145CE" w:rsidRDefault="0028280C" w:rsidP="0028280C">
      <w:pPr>
        <w:pStyle w:val="NormalWeb"/>
        <w:jc w:val="center"/>
        <w:rPr>
          <w:sz w:val="22"/>
          <w:szCs w:val="22"/>
        </w:rPr>
      </w:pPr>
      <w:r w:rsidRPr="000145CE">
        <w:rPr>
          <w:noProof/>
          <w:sz w:val="22"/>
          <w:szCs w:val="22"/>
        </w:rPr>
        <w:drawing>
          <wp:inline distT="0" distB="0" distL="0" distR="0" wp14:anchorId="0681C4F6" wp14:editId="3B6DC811">
            <wp:extent cx="5190330" cy="2442794"/>
            <wp:effectExtent l="0" t="0" r="0" b="0"/>
            <wp:docPr id="27" name="Picture 2"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chart&#10;&#10;Description automatically generated"/>
                    <pic:cNvPicPr/>
                  </pic:nvPicPr>
                  <pic:blipFill rotWithShape="1">
                    <a:blip r:embed="rId27"/>
                    <a:srcRect l="2992" t="1872" r="1781"/>
                    <a:stretch/>
                  </pic:blipFill>
                  <pic:spPr bwMode="auto">
                    <a:xfrm>
                      <a:off x="0" y="0"/>
                      <a:ext cx="5206422" cy="2450368"/>
                    </a:xfrm>
                    <a:prstGeom prst="rect">
                      <a:avLst/>
                    </a:prstGeom>
                    <a:ln>
                      <a:noFill/>
                    </a:ln>
                    <a:extLst>
                      <a:ext uri="{53640926-AAD7-44D8-BBD7-CCE9431645EC}">
                        <a14:shadowObscured xmlns:a14="http://schemas.microsoft.com/office/drawing/2010/main"/>
                      </a:ext>
                    </a:extLst>
                  </pic:spPr>
                </pic:pic>
              </a:graphicData>
            </a:graphic>
          </wp:inline>
        </w:drawing>
      </w:r>
    </w:p>
    <w:p w14:paraId="6883377A" w14:textId="1714A378" w:rsidR="0028280C" w:rsidRDefault="009F2CF9" w:rsidP="0028280C">
      <w:pPr>
        <w:pStyle w:val="NormalWeb"/>
        <w:jc w:val="both"/>
        <w:rPr>
          <w:sz w:val="22"/>
          <w:szCs w:val="22"/>
        </w:rPr>
      </w:pPr>
      <w:r>
        <w:rPr>
          <w:sz w:val="22"/>
          <w:szCs w:val="22"/>
        </w:rPr>
        <w:lastRenderedPageBreak/>
        <w:t>L</w:t>
      </w:r>
      <w:r w:rsidR="0028280C" w:rsidRPr="000145CE">
        <w:rPr>
          <w:sz w:val="22"/>
          <w:szCs w:val="22"/>
        </w:rPr>
        <w:t xml:space="preserve">a pandémie de COVID-19 a eu un impact sévère sur la vulnérabilité des migrants, </w:t>
      </w:r>
      <w:r w:rsidR="0028280C">
        <w:rPr>
          <w:sz w:val="22"/>
          <w:szCs w:val="22"/>
        </w:rPr>
        <w:t>les réfugiés</w:t>
      </w:r>
      <w:r w:rsidR="0028280C" w:rsidRPr="000145CE">
        <w:rPr>
          <w:sz w:val="22"/>
          <w:szCs w:val="22"/>
        </w:rPr>
        <w:t xml:space="preserve">, les populations d'accueil et la capacité opérationnelle des différentes agences des Nations Unies au Niger. La fermeture des frontières terrestres et aériennes annoncée par le Gouvernement du Niger en mars 2020 en raison de la pandémie de COVID-19 a entraîné le blocage de nombreux migrants et demandeurs d'asile dans divers centres de transit et camps, </w:t>
      </w:r>
      <w:r w:rsidR="0028280C">
        <w:rPr>
          <w:sz w:val="22"/>
          <w:szCs w:val="22"/>
        </w:rPr>
        <w:t xml:space="preserve">notamment ceux en attente de départ ou d’interview dans le cadre des solutions durables dans les pays tiers (réinstallation et voies complémentaires) </w:t>
      </w:r>
      <w:r w:rsidR="0028280C" w:rsidRPr="000145CE">
        <w:rPr>
          <w:sz w:val="22"/>
          <w:szCs w:val="22"/>
        </w:rPr>
        <w:t>tout en posant des défis importants au retour volontaire assisté. L'ONU et d'autres partenaires ont dû rapidement intensifier leurs mesures de prévention et de contrôle contre les infections des migrants</w:t>
      </w:r>
      <w:r w:rsidR="0028280C">
        <w:rPr>
          <w:sz w:val="22"/>
          <w:szCs w:val="22"/>
        </w:rPr>
        <w:t>, réfugiés, demandeurs d’asile</w:t>
      </w:r>
      <w:r w:rsidR="0028280C" w:rsidRPr="000145CE">
        <w:rPr>
          <w:sz w:val="22"/>
          <w:szCs w:val="22"/>
        </w:rPr>
        <w:t xml:space="preserve"> et de leurs communautés d'accueil. Par ailleurs, la fréquence des transferts de fonds des migrants, y compris ceux </w:t>
      </w:r>
      <w:r>
        <w:rPr>
          <w:sz w:val="22"/>
          <w:szCs w:val="22"/>
        </w:rPr>
        <w:t xml:space="preserve">des </w:t>
      </w:r>
      <w:r w:rsidR="0028280C" w:rsidRPr="000145CE">
        <w:rPr>
          <w:sz w:val="22"/>
          <w:szCs w:val="22"/>
        </w:rPr>
        <w:t>Nigériens, vers leurs familles et communautés d’accueil, a été sérieusement impacté négativement.</w:t>
      </w:r>
      <w:r w:rsidR="0028280C">
        <w:rPr>
          <w:sz w:val="22"/>
          <w:szCs w:val="22"/>
        </w:rPr>
        <w:t xml:space="preserve"> </w:t>
      </w:r>
      <w:r w:rsidR="0028280C" w:rsidRPr="000145CE">
        <w:rPr>
          <w:sz w:val="22"/>
          <w:szCs w:val="22"/>
        </w:rPr>
        <w:t xml:space="preserve">A cela s’ajoute une féminisation marquée de la migration avec </w:t>
      </w:r>
      <w:r w:rsidR="009462B8">
        <w:rPr>
          <w:sz w:val="22"/>
          <w:szCs w:val="22"/>
        </w:rPr>
        <w:t xml:space="preserve">les </w:t>
      </w:r>
      <w:r w:rsidR="0028280C" w:rsidRPr="000145CE">
        <w:rPr>
          <w:sz w:val="22"/>
          <w:szCs w:val="22"/>
        </w:rPr>
        <w:t>réseaux de mendicité en Algérie, soit pour rechercher du travail en Libye. Cela a eu pour conséquence une plus grande exposition des femmes aux risques de traite</w:t>
      </w:r>
      <w:r w:rsidR="0028280C" w:rsidRPr="000145CE">
        <w:rPr>
          <w:sz w:val="22"/>
          <w:szCs w:val="22"/>
        </w:rPr>
        <w:footnoteReference w:id="12"/>
      </w:r>
      <w:r w:rsidR="0028280C" w:rsidRPr="000145CE">
        <w:rPr>
          <w:sz w:val="22"/>
          <w:szCs w:val="22"/>
        </w:rPr>
        <w:t xml:space="preserve"> des personnes.</w:t>
      </w:r>
    </w:p>
    <w:p w14:paraId="0CF435BD" w14:textId="1132DE49" w:rsidR="0028280C" w:rsidRPr="00954F85" w:rsidRDefault="0028280C" w:rsidP="0028280C">
      <w:pPr>
        <w:pStyle w:val="Titre3"/>
        <w:jc w:val="both"/>
        <w:rPr>
          <w:rFonts w:ascii="Times New Roman" w:eastAsia="Times New Roman" w:hAnsi="Times New Roman" w:cs="Times New Roman"/>
          <w:color w:val="auto"/>
          <w:sz w:val="22"/>
          <w:szCs w:val="22"/>
          <w:lang w:eastAsia="fr-FR"/>
        </w:rPr>
      </w:pPr>
      <w:bookmarkStart w:id="87" w:name="_Toc89479399"/>
      <w:bookmarkStart w:id="88" w:name="_Toc89480897"/>
      <w:bookmarkStart w:id="89" w:name="_Toc94480139"/>
      <w:bookmarkStart w:id="90" w:name="_Toc94481800"/>
      <w:bookmarkStart w:id="91" w:name="_Toc94482063"/>
      <w:r w:rsidRPr="009E1DAA">
        <w:rPr>
          <w:rFonts w:ascii="Times New Roman" w:eastAsia="Times New Roman" w:hAnsi="Times New Roman" w:cs="Times New Roman"/>
          <w:color w:val="auto"/>
          <w:sz w:val="22"/>
          <w:szCs w:val="22"/>
          <w:lang w:eastAsia="fr-FR"/>
        </w:rPr>
        <w:t>Les</w:t>
      </w:r>
      <w:r w:rsidRPr="00954F85">
        <w:rPr>
          <w:rFonts w:ascii="Times New Roman" w:eastAsia="Times New Roman" w:hAnsi="Times New Roman" w:cs="Times New Roman"/>
          <w:color w:val="auto"/>
          <w:sz w:val="22"/>
          <w:szCs w:val="22"/>
          <w:lang w:eastAsia="fr-FR"/>
        </w:rPr>
        <w:t xml:space="preserve"> r</w:t>
      </w:r>
      <w:r>
        <w:rPr>
          <w:rFonts w:ascii="Times New Roman" w:eastAsia="Times New Roman" w:hAnsi="Times New Roman" w:cs="Times New Roman"/>
          <w:color w:val="auto"/>
          <w:sz w:val="22"/>
          <w:szCs w:val="22"/>
          <w:lang w:eastAsia="fr-FR"/>
        </w:rPr>
        <w:t>é</w:t>
      </w:r>
      <w:r w:rsidRPr="00954F85">
        <w:rPr>
          <w:rFonts w:ascii="Times New Roman" w:eastAsia="Times New Roman" w:hAnsi="Times New Roman" w:cs="Times New Roman"/>
          <w:color w:val="auto"/>
          <w:sz w:val="22"/>
          <w:szCs w:val="22"/>
          <w:lang w:eastAsia="fr-FR"/>
        </w:rPr>
        <w:t>fugi</w:t>
      </w:r>
      <w:r>
        <w:rPr>
          <w:rFonts w:ascii="Times New Roman" w:eastAsia="Times New Roman" w:hAnsi="Times New Roman" w:cs="Times New Roman"/>
          <w:color w:val="auto"/>
          <w:sz w:val="22"/>
          <w:szCs w:val="22"/>
          <w:lang w:eastAsia="fr-FR"/>
        </w:rPr>
        <w:t>é</w:t>
      </w:r>
      <w:r w:rsidRPr="00954F85">
        <w:rPr>
          <w:rFonts w:ascii="Times New Roman" w:eastAsia="Times New Roman" w:hAnsi="Times New Roman" w:cs="Times New Roman"/>
          <w:color w:val="auto"/>
          <w:sz w:val="22"/>
          <w:szCs w:val="22"/>
          <w:lang w:eastAsia="fr-FR"/>
        </w:rPr>
        <w:t xml:space="preserve">s et demandeurs d’asile sont confrontés à des difficultés de survie suite à la suspension des interventions humanitaires, aux restrictions d’accès humanitaire et aux incidents sécuritaires dans certaines zones d'opération. </w:t>
      </w:r>
      <w:r w:rsidR="00CD78AF">
        <w:rPr>
          <w:rFonts w:ascii="Times New Roman" w:eastAsia="Times New Roman" w:hAnsi="Times New Roman" w:cs="Times New Roman"/>
          <w:color w:val="auto"/>
          <w:sz w:val="22"/>
          <w:szCs w:val="22"/>
          <w:lang w:eastAsia="fr-FR"/>
        </w:rPr>
        <w:t>L</w:t>
      </w:r>
      <w:r w:rsidRPr="00954F85">
        <w:rPr>
          <w:rFonts w:ascii="Times New Roman" w:eastAsia="Times New Roman" w:hAnsi="Times New Roman" w:cs="Times New Roman"/>
          <w:color w:val="auto"/>
          <w:sz w:val="22"/>
          <w:szCs w:val="22"/>
          <w:lang w:eastAsia="fr-FR"/>
        </w:rPr>
        <w:t>es opportunités de génération de revenus restent très limitées, avec un risque sur leur état nutritionnel notamment pour les femmes et les enfants ainsi que les personnes âgées, en dépit de l’hospitalité de la communauté d’accueil elle-même affectée par la même situation.</w:t>
      </w:r>
      <w:bookmarkEnd w:id="87"/>
      <w:bookmarkEnd w:id="88"/>
      <w:bookmarkEnd w:id="89"/>
      <w:bookmarkEnd w:id="90"/>
      <w:bookmarkEnd w:id="91"/>
      <w:r w:rsidRPr="00954F85">
        <w:rPr>
          <w:rFonts w:ascii="Times New Roman" w:eastAsia="Times New Roman" w:hAnsi="Times New Roman" w:cs="Times New Roman"/>
          <w:color w:val="auto"/>
          <w:sz w:val="22"/>
          <w:szCs w:val="22"/>
          <w:lang w:eastAsia="fr-FR"/>
        </w:rPr>
        <w:t xml:space="preserve"> </w:t>
      </w:r>
    </w:p>
    <w:p w14:paraId="0FBE5527" w14:textId="36F2A036" w:rsidR="0028280C" w:rsidRPr="00C56D46" w:rsidRDefault="0028280C" w:rsidP="0028280C">
      <w:pPr>
        <w:pStyle w:val="NormalWeb"/>
        <w:pBdr>
          <w:top w:val="single" w:sz="4" w:space="1" w:color="auto"/>
          <w:left w:val="single" w:sz="4" w:space="4" w:color="auto"/>
          <w:bottom w:val="single" w:sz="4" w:space="1" w:color="auto"/>
          <w:right w:val="single" w:sz="4" w:space="4" w:color="auto"/>
        </w:pBdr>
        <w:shd w:val="clear" w:color="auto" w:fill="92D050"/>
        <w:jc w:val="both"/>
        <w:rPr>
          <w:i/>
          <w:sz w:val="22"/>
          <w:szCs w:val="22"/>
        </w:rPr>
      </w:pPr>
      <w:r w:rsidRPr="002D7B2E">
        <w:rPr>
          <w:sz w:val="22"/>
          <w:szCs w:val="22"/>
        </w:rPr>
        <w:t>L’analyse de la gouvernance migratoire a mis en lumière</w:t>
      </w:r>
      <w:r>
        <w:rPr>
          <w:b/>
          <w:i/>
          <w:sz w:val="22"/>
          <w:szCs w:val="22"/>
        </w:rPr>
        <w:t xml:space="preserve"> le</w:t>
      </w:r>
      <w:r w:rsidRPr="000145CE">
        <w:rPr>
          <w:b/>
          <w:i/>
          <w:sz w:val="22"/>
          <w:szCs w:val="22"/>
        </w:rPr>
        <w:t xml:space="preserve"> prob</w:t>
      </w:r>
      <w:r>
        <w:rPr>
          <w:b/>
          <w:i/>
          <w:sz w:val="22"/>
          <w:szCs w:val="22"/>
        </w:rPr>
        <w:t xml:space="preserve">lème central suivant </w:t>
      </w:r>
      <w:r w:rsidRPr="000145CE">
        <w:rPr>
          <w:b/>
          <w:i/>
          <w:sz w:val="22"/>
          <w:szCs w:val="22"/>
        </w:rPr>
        <w:t>: « </w:t>
      </w:r>
      <w:r w:rsidRPr="00FA52B1">
        <w:rPr>
          <w:b/>
          <w:i/>
        </w:rPr>
        <w:t>Faible opérationnalisation des cadres institutionnels et politiques de la migration »</w:t>
      </w:r>
      <w:r w:rsidRPr="000145CE">
        <w:rPr>
          <w:b/>
          <w:i/>
          <w:sz w:val="22"/>
          <w:szCs w:val="22"/>
        </w:rPr>
        <w:t>.</w:t>
      </w:r>
      <w:r>
        <w:rPr>
          <w:b/>
          <w:i/>
          <w:sz w:val="22"/>
          <w:szCs w:val="22"/>
        </w:rPr>
        <w:t xml:space="preserve"> </w:t>
      </w:r>
      <w:r w:rsidRPr="002D7B2E">
        <w:rPr>
          <w:sz w:val="22"/>
          <w:szCs w:val="22"/>
        </w:rPr>
        <w:t>Il est imputable aux principales causes suivantes</w:t>
      </w:r>
      <w:r>
        <w:rPr>
          <w:b/>
          <w:i/>
          <w:sz w:val="22"/>
          <w:szCs w:val="22"/>
        </w:rPr>
        <w:t> : (i) Le f</w:t>
      </w:r>
      <w:r w:rsidRPr="000145CE">
        <w:rPr>
          <w:i/>
          <w:sz w:val="22"/>
          <w:szCs w:val="22"/>
        </w:rPr>
        <w:t>aible accès des jeunes aux opportunités économiques</w:t>
      </w:r>
      <w:r>
        <w:rPr>
          <w:i/>
          <w:sz w:val="22"/>
          <w:szCs w:val="22"/>
        </w:rPr>
        <w:t xml:space="preserve"> ; (ii) </w:t>
      </w:r>
      <w:r w:rsidRPr="002D7B2E">
        <w:rPr>
          <w:i/>
          <w:sz w:val="22"/>
          <w:szCs w:val="22"/>
        </w:rPr>
        <w:t>La faible cohérence dans la compréhension et l’application des politiques, textes, lois, arrêtés, décrets et autres documents sur la gestion la migration ; (iii) La forte centralisation de la gestion de la migration ; (iv)  La faible mise à disposition de ressources financières et humaines adéquates au sein des structures en charge de la gestion de la migration ; (v) La faible existence et mise en œuvre des accords bilatéraux de travail ; (vi) Le manque de coordination au sein des institutions étatiques sur la disponibilité de données régulières et fiables sur les tendances migratoires ; (vii) Le manque d’harmonisation sur les méthodologies de collecte et de diffusion des données sur la migration ; (viii) La persistance des pesanteurs socio-culturelles liées à la migration saisonnière.</w:t>
      </w:r>
    </w:p>
    <w:p w14:paraId="13D56335" w14:textId="77777777" w:rsidR="0028280C" w:rsidRPr="00E25B1F" w:rsidRDefault="0028280C" w:rsidP="00E25B1F">
      <w:pPr>
        <w:pStyle w:val="Titre3"/>
        <w:rPr>
          <w:rFonts w:ascii="Bernard MT Condensed" w:hAnsi="Bernard MT Condensed"/>
        </w:rPr>
      </w:pPr>
      <w:bookmarkStart w:id="92" w:name="_Toc86687718"/>
      <w:bookmarkStart w:id="93" w:name="_Toc89479400"/>
      <w:bookmarkStart w:id="94" w:name="_Toc89480898"/>
      <w:bookmarkStart w:id="95" w:name="_Toc94480140"/>
      <w:bookmarkStart w:id="96" w:name="_Toc94481801"/>
      <w:bookmarkStart w:id="97" w:name="_Toc94482064"/>
      <w:bookmarkStart w:id="98" w:name="_Toc84789669"/>
      <w:r w:rsidRPr="00E25B1F">
        <w:rPr>
          <w:rFonts w:ascii="Bernard MT Condensed" w:hAnsi="Bernard MT Condensed"/>
        </w:rPr>
        <w:t>I.3.4 - Etat des lieux de la gouvernance judiciaire et juridique</w:t>
      </w:r>
      <w:bookmarkEnd w:id="92"/>
      <w:bookmarkEnd w:id="93"/>
      <w:bookmarkEnd w:id="94"/>
      <w:bookmarkEnd w:id="95"/>
      <w:bookmarkEnd w:id="96"/>
      <w:bookmarkEnd w:id="97"/>
    </w:p>
    <w:p w14:paraId="7C4B97E8" w14:textId="1CA7B92B" w:rsidR="0028280C" w:rsidRPr="002A3FD1" w:rsidRDefault="0028280C" w:rsidP="0028280C">
      <w:pPr>
        <w:jc w:val="both"/>
        <w:rPr>
          <w:rFonts w:ascii="Times New Roman" w:hAnsi="Times New Roman" w:cs="Times New Roman"/>
          <w:color w:val="202122"/>
          <w:sz w:val="21"/>
          <w:szCs w:val="21"/>
          <w:shd w:val="clear" w:color="auto" w:fill="FFFFFF"/>
        </w:rPr>
      </w:pPr>
      <w:r w:rsidRPr="002A3FD1">
        <w:rPr>
          <w:rFonts w:ascii="Times New Roman" w:hAnsi="Times New Roman" w:cs="Times New Roman"/>
          <w:color w:val="000000" w:themeColor="text1"/>
        </w:rPr>
        <w:t>Au Niger, la gouvernance judiciaire est assurée</w:t>
      </w:r>
      <w:r w:rsidRPr="002A3FD1">
        <w:rPr>
          <w:rFonts w:ascii="Times New Roman" w:hAnsi="Times New Roman" w:cs="Times New Roman"/>
        </w:rPr>
        <w:t xml:space="preserve"> </w:t>
      </w:r>
      <w:r w:rsidR="00B55AE7">
        <w:rPr>
          <w:rFonts w:ascii="Times New Roman" w:hAnsi="Times New Roman" w:cs="Times New Roman"/>
        </w:rPr>
        <w:t xml:space="preserve">par </w:t>
      </w:r>
      <w:r w:rsidRPr="002A3FD1">
        <w:rPr>
          <w:rFonts w:ascii="Times New Roman" w:hAnsi="Times New Roman" w:cs="Times New Roman"/>
          <w:color w:val="202122"/>
          <w:shd w:val="clear" w:color="auto" w:fill="FFFFFF"/>
        </w:rPr>
        <w:t>la Cour suprême, la Cour constitutionnelle, les cours d’appel, les tribunaux d'instance et de grande instance</w:t>
      </w:r>
      <w:r w:rsidR="00B55AE7">
        <w:rPr>
          <w:rFonts w:ascii="Times New Roman" w:hAnsi="Times New Roman" w:cs="Times New Roman"/>
          <w:color w:val="202122"/>
          <w:shd w:val="clear" w:color="auto" w:fill="FFFFFF"/>
        </w:rPr>
        <w:t>,</w:t>
      </w:r>
      <w:r w:rsidRPr="002A3FD1">
        <w:rPr>
          <w:rFonts w:ascii="Times New Roman" w:hAnsi="Times New Roman" w:cs="Times New Roman"/>
          <w:color w:val="202122"/>
          <w:shd w:val="clear" w:color="auto" w:fill="FFFFFF"/>
        </w:rPr>
        <w:t xml:space="preserve"> et les cours d’assises. </w:t>
      </w:r>
      <w:r w:rsidRPr="002A3FD1">
        <w:rPr>
          <w:rFonts w:ascii="Times New Roman" w:hAnsi="Times New Roman" w:cs="Times New Roman"/>
          <w:color w:val="202122"/>
          <w:sz w:val="21"/>
          <w:szCs w:val="21"/>
          <w:shd w:val="clear" w:color="auto" w:fill="FFFFFF"/>
        </w:rPr>
        <w:t>La Cour suprême est la juridiction supérieure de l’organisation judiciaire. La Cour constitutionnelle est la juridiction chargée du contrôle de la conformité des lois à la constitution. Les cours d’appel constituent les juridictions de droit commun du second degré</w:t>
      </w:r>
      <w:r>
        <w:rPr>
          <w:rFonts w:ascii="Times New Roman" w:hAnsi="Times New Roman" w:cs="Times New Roman"/>
          <w:color w:val="202122"/>
          <w:sz w:val="21"/>
          <w:szCs w:val="21"/>
          <w:shd w:val="clear" w:color="auto" w:fill="FFFFFF"/>
        </w:rPr>
        <w:t xml:space="preserve">. </w:t>
      </w:r>
      <w:r w:rsidRPr="002A3FD1">
        <w:rPr>
          <w:rFonts w:ascii="Times New Roman" w:hAnsi="Times New Roman" w:cs="Times New Roman"/>
          <w:color w:val="202122"/>
          <w:sz w:val="21"/>
          <w:szCs w:val="21"/>
          <w:shd w:val="clear" w:color="auto" w:fill="FFFFFF"/>
        </w:rPr>
        <w:t xml:space="preserve"> Les tribunaux d'instance et de grande instance sont des juridictions de droit commun en toute matière à l’exception de celles dont la compétence est </w:t>
      </w:r>
      <w:r>
        <w:rPr>
          <w:rFonts w:ascii="Times New Roman" w:hAnsi="Times New Roman" w:cs="Times New Roman"/>
          <w:color w:val="202122"/>
          <w:sz w:val="21"/>
          <w:szCs w:val="21"/>
          <w:shd w:val="clear" w:color="auto" w:fill="FFFFFF"/>
        </w:rPr>
        <w:t>dévolue à d’autres juridictions.</w:t>
      </w:r>
      <w:r w:rsidRPr="002A3FD1">
        <w:rPr>
          <w:rFonts w:ascii="Times New Roman" w:hAnsi="Times New Roman" w:cs="Times New Roman"/>
          <w:color w:val="202122"/>
          <w:sz w:val="21"/>
          <w:szCs w:val="21"/>
          <w:shd w:val="clear" w:color="auto" w:fill="FFFFFF"/>
        </w:rPr>
        <w:t xml:space="preserve"> Les cours d’assises sont juges en matière criminelle, le siège et le ressort des cours d’assises sont les mêmes que ceux des tribunaux de grande instance et les modalités de leur organisation et fonctionnement sont fixées par le code de procédure pénale</w:t>
      </w:r>
      <w:r>
        <w:rPr>
          <w:rFonts w:ascii="Times New Roman" w:hAnsi="Times New Roman" w:cs="Times New Roman"/>
          <w:color w:val="202122"/>
          <w:sz w:val="21"/>
          <w:szCs w:val="21"/>
          <w:shd w:val="clear" w:color="auto" w:fill="FFFFFF"/>
        </w:rPr>
        <w:t xml:space="preserve">. </w:t>
      </w:r>
      <w:r>
        <w:rPr>
          <w:rFonts w:ascii="Times New Roman" w:hAnsi="Times New Roman" w:cs="Times New Roman"/>
        </w:rPr>
        <w:t>Le pays dispose également d’une carte judiciaire qui renseigne sur le maillage des institutions judiciaires sur le territoire national.</w:t>
      </w:r>
    </w:p>
    <w:p w14:paraId="7B0F8D33" w14:textId="77777777" w:rsidR="0028280C" w:rsidRDefault="0028280C" w:rsidP="0028280C">
      <w:pPr>
        <w:jc w:val="center"/>
        <w:rPr>
          <w:rFonts w:ascii="Times New Roman" w:hAnsi="Times New Roman" w:cs="Times New Roman"/>
        </w:rPr>
      </w:pPr>
      <w:r>
        <w:rPr>
          <w:noProof/>
          <w:lang w:eastAsia="fr-FR"/>
        </w:rPr>
        <w:lastRenderedPageBreak/>
        <w:drawing>
          <wp:inline distT="0" distB="0" distL="0" distR="0" wp14:anchorId="7DA0FE93" wp14:editId="24535BC5">
            <wp:extent cx="5124450" cy="2901950"/>
            <wp:effectExtent l="0" t="0" r="0" b="0"/>
            <wp:docPr id="5" name="Image 5" descr="http://www.justice.gouv.ne/images/2020/Carte_Judiciaire_Ni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justice.gouv.ne/images/2020/Carte_Judiciaire_Niger.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124859" cy="2902182"/>
                    </a:xfrm>
                    <a:prstGeom prst="rect">
                      <a:avLst/>
                    </a:prstGeom>
                    <a:noFill/>
                    <a:ln>
                      <a:noFill/>
                    </a:ln>
                  </pic:spPr>
                </pic:pic>
              </a:graphicData>
            </a:graphic>
          </wp:inline>
        </w:drawing>
      </w:r>
    </w:p>
    <w:p w14:paraId="1EA8C95A" w14:textId="3C7C6CB2" w:rsidR="0028280C" w:rsidRPr="00930D45" w:rsidRDefault="0028280C" w:rsidP="0028280C">
      <w:pPr>
        <w:jc w:val="both"/>
        <w:rPr>
          <w:rFonts w:ascii="Times New Roman" w:hAnsi="Times New Roman" w:cs="Times New Roman"/>
        </w:rPr>
      </w:pPr>
      <w:r w:rsidRPr="00930D45">
        <w:rPr>
          <w:rFonts w:ascii="Times New Roman" w:hAnsi="Times New Roman" w:cs="Times New Roman"/>
        </w:rPr>
        <w:t>Le secteur judiciaire a connu une réforme profonde amorcée depuis la tenue des états généraux de la justice en 2012.  Cette refonte a porté sur plusieurs domaines notamment la refonte des textes en mati</w:t>
      </w:r>
      <w:r w:rsidR="00B55AE7">
        <w:rPr>
          <w:rFonts w:ascii="Times New Roman" w:hAnsi="Times New Roman" w:cs="Times New Roman"/>
        </w:rPr>
        <w:t>ère civile, commerciale, pénale</w:t>
      </w:r>
      <w:r w:rsidRPr="00930D45">
        <w:rPr>
          <w:rFonts w:ascii="Times New Roman" w:hAnsi="Times New Roman" w:cs="Times New Roman"/>
        </w:rPr>
        <w:t xml:space="preserve"> et institutionnel</w:t>
      </w:r>
      <w:r w:rsidR="00B55AE7">
        <w:rPr>
          <w:rFonts w:ascii="Times New Roman" w:hAnsi="Times New Roman" w:cs="Times New Roman"/>
        </w:rPr>
        <w:t>le</w:t>
      </w:r>
      <w:r w:rsidRPr="00930D45">
        <w:rPr>
          <w:rFonts w:ascii="Times New Roman" w:hAnsi="Times New Roman" w:cs="Times New Roman"/>
        </w:rPr>
        <w:t xml:space="preserve">. Le système a subi des mutations avec la création de juridictions spécialisées, des tribunaux dans chaque </w:t>
      </w:r>
      <w:r w:rsidR="00637E75" w:rsidRPr="00930D45">
        <w:rPr>
          <w:rFonts w:ascii="Times New Roman" w:hAnsi="Times New Roman" w:cs="Times New Roman"/>
        </w:rPr>
        <w:t>chef-lieu</w:t>
      </w:r>
      <w:r w:rsidRPr="00930D45">
        <w:rPr>
          <w:rFonts w:ascii="Times New Roman" w:hAnsi="Times New Roman" w:cs="Times New Roman"/>
        </w:rPr>
        <w:t xml:space="preserve"> de départements</w:t>
      </w:r>
      <w:r w:rsidR="00B55AE7">
        <w:rPr>
          <w:rFonts w:ascii="Times New Roman" w:hAnsi="Times New Roman" w:cs="Times New Roman"/>
        </w:rPr>
        <w:t xml:space="preserve">, </w:t>
      </w:r>
      <w:r w:rsidRPr="00930D45">
        <w:rPr>
          <w:rFonts w:ascii="Times New Roman" w:hAnsi="Times New Roman" w:cs="Times New Roman"/>
        </w:rPr>
        <w:t xml:space="preserve"> des cours d’Appel dans chaque région, des hautes juridictions, d’un centre d’études à vocation de recherche et d’une école de formation assurant la formation initiale et continue des professionnels de la justice. Pour un fonctionnement harmonieux de l’institution judiciaire, la modernisation des cadres d’intervention et la moralisation du secteur ont été repensées en vue de rendre la justice crédible et accessible. Il convient aussi de signaler La création de l’Agence nationale d’assistance juridique et judicaire offrant des avantages des avantages certains aux populations et constituant assurément une réponse adaptée à la problématique de l’accès de tous à la justice.</w:t>
      </w:r>
    </w:p>
    <w:p w14:paraId="4C4143DB" w14:textId="0C62B937" w:rsidR="0028280C" w:rsidRPr="00930D45" w:rsidRDefault="0028280C" w:rsidP="0028280C">
      <w:pPr>
        <w:jc w:val="both"/>
        <w:rPr>
          <w:rFonts w:ascii="Times New Roman" w:hAnsi="Times New Roman" w:cs="Times New Roman"/>
        </w:rPr>
      </w:pPr>
      <w:r w:rsidRPr="00930D45">
        <w:rPr>
          <w:rFonts w:ascii="Times New Roman" w:hAnsi="Times New Roman" w:cs="Times New Roman"/>
        </w:rPr>
        <w:t xml:space="preserve">Le Niger poursuit la mise en œuvre de la Politique Nationale de Justice et des Droits Humains assortie d’un plan d’actions décennal pour la période 2016 - 2025. Entre 2012 et 2015, plusieurs lois ont été votées dans le domaine de la lutte contre la corruption, le trafic illicite de migrants, le terrorisme, le commerce et celle portant code de procédure civile attendue depuis plusieurs décennies. Des directions générales spécialisées et des directions d’appui ont été créées au sein du ministère chargé de la justice. A celles-ci s’ajoutent, la Commission Nationale de Coordination de Lutte Contre la Traite des Personnes (CNLCTP) et l’Agence Nationale de Lutte contre la Traite des Personnes (ANLTP). </w:t>
      </w:r>
    </w:p>
    <w:p w14:paraId="7ED5114E" w14:textId="7F6BF6F9" w:rsidR="0028280C" w:rsidRPr="00930D45" w:rsidRDefault="0028280C" w:rsidP="0028280C">
      <w:pPr>
        <w:jc w:val="both"/>
        <w:rPr>
          <w:rFonts w:ascii="Times New Roman" w:hAnsi="Times New Roman" w:cs="Times New Roman"/>
        </w:rPr>
      </w:pPr>
      <w:r w:rsidRPr="00930D45">
        <w:rPr>
          <w:rFonts w:ascii="Times New Roman" w:hAnsi="Times New Roman" w:cs="Times New Roman"/>
        </w:rPr>
        <w:t xml:space="preserve">Ces réformes ont permis une amélioration de la gouvernance juridique et judiciaire. En effet, il a été noté des progrès en termes de traitement des dossiers judiciaires. Ainsi, le taux de poursuites pénales est passé de 83,0% en 2012 à 92,2% en 2015. De même, le nombre d’affaires instruites par juge d’instruction est passé de 41 dossiers en 2012 à 97 en 2015. </w:t>
      </w:r>
      <w:r w:rsidR="00637E75">
        <w:rPr>
          <w:rFonts w:ascii="Times New Roman" w:hAnsi="Times New Roman" w:cs="Times New Roman"/>
        </w:rPr>
        <w:t>Toutefois, l</w:t>
      </w:r>
      <w:r w:rsidRPr="00930D45">
        <w:rPr>
          <w:rFonts w:ascii="Times New Roman" w:hAnsi="Times New Roman" w:cs="Times New Roman"/>
        </w:rPr>
        <w:t xml:space="preserve">a gouvernance juridique et judiciaire reste confrontée à de nombreux défis. </w:t>
      </w:r>
    </w:p>
    <w:p w14:paraId="4F05DAFD" w14:textId="77777777" w:rsidR="0028280C" w:rsidRPr="00930D45" w:rsidRDefault="0028280C" w:rsidP="0028280C">
      <w:pPr>
        <w:jc w:val="both"/>
        <w:rPr>
          <w:rFonts w:ascii="Times New Roman" w:hAnsi="Times New Roman" w:cs="Times New Roman"/>
          <w:bCs/>
        </w:rPr>
      </w:pPr>
      <w:r w:rsidRPr="00930D45">
        <w:rPr>
          <w:rFonts w:ascii="Times New Roman" w:hAnsi="Times New Roman" w:cs="Times New Roman"/>
          <w:bCs/>
        </w:rPr>
        <w:t xml:space="preserve">En ce qui concerne le maillage territorial de l’appareil judiciaire, on note les principaux défis suivants :  </w:t>
      </w:r>
    </w:p>
    <w:p w14:paraId="2EAF0D47"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 xml:space="preserve">La faiblesse du maillage territorial des institutions de la justice </w:t>
      </w:r>
    </w:p>
    <w:p w14:paraId="0C9D2FD1"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Le faible rapprochement de la justice du justiciable</w:t>
      </w:r>
    </w:p>
    <w:p w14:paraId="0540224C"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 xml:space="preserve">La faiblesse des institutions juridiques et judiciaires (faible représentation au niveau local, insuffisance des moyens) </w:t>
      </w:r>
    </w:p>
    <w:p w14:paraId="08706806"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La faiblesse de la couverture nationale en juridiction d’instance ;</w:t>
      </w:r>
    </w:p>
    <w:p w14:paraId="5B535A50"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L’absence de système moderne de gestion des statistiques judiciaires et de la digitalisation des données judiciaires</w:t>
      </w:r>
    </w:p>
    <w:p w14:paraId="27BC8861"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lastRenderedPageBreak/>
        <w:t>L’insuffisance des cours d’appels et la non-opérationnalisation de certains tribunaux d’instance et les difficultés de mise en œuvre des décisions de justice</w:t>
      </w:r>
    </w:p>
    <w:p w14:paraId="06C8B880" w14:textId="77777777" w:rsidR="0028280C" w:rsidRPr="00930D45" w:rsidRDefault="0028280C" w:rsidP="0028280C">
      <w:pPr>
        <w:spacing w:before="60" w:after="0" w:line="240" w:lineRule="auto"/>
        <w:contextualSpacing/>
        <w:jc w:val="both"/>
        <w:rPr>
          <w:rFonts w:ascii="Times New Roman" w:eastAsia="Calibri" w:hAnsi="Times New Roman" w:cs="Times New Roman"/>
        </w:rPr>
      </w:pPr>
    </w:p>
    <w:p w14:paraId="5D5AB002" w14:textId="77777777" w:rsidR="0028280C" w:rsidRPr="00930D45" w:rsidRDefault="0028280C" w:rsidP="0028280C">
      <w:pPr>
        <w:spacing w:before="60" w:after="0" w:line="240" w:lineRule="auto"/>
        <w:contextualSpacing/>
        <w:jc w:val="both"/>
        <w:rPr>
          <w:rFonts w:ascii="Times New Roman" w:eastAsia="Calibri" w:hAnsi="Times New Roman" w:cs="Times New Roman"/>
          <w:bCs/>
        </w:rPr>
      </w:pPr>
      <w:r w:rsidRPr="00930D45">
        <w:rPr>
          <w:rFonts w:ascii="Times New Roman" w:eastAsia="Calibri" w:hAnsi="Times New Roman" w:cs="Times New Roman"/>
          <w:bCs/>
        </w:rPr>
        <w:t xml:space="preserve">S’agissant du fonctionnement de la justice, on peut signaler les principaux défis ci-après :  </w:t>
      </w:r>
    </w:p>
    <w:p w14:paraId="7B1F2EB0"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 xml:space="preserve">L’insuffisance du personnel judiciaire </w:t>
      </w:r>
    </w:p>
    <w:p w14:paraId="764F20B4"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La persistance de l’immixtion des autres pouvoirs dans la gestion des affaires judiciaires</w:t>
      </w:r>
    </w:p>
    <w:p w14:paraId="54A68284"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 xml:space="preserve">Le sous-effectif des femmes dans le corps des magistrats </w:t>
      </w:r>
    </w:p>
    <w:p w14:paraId="12E9D5CD" w14:textId="6EB05AB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Les difficultés d’application de la loi du</w:t>
      </w:r>
      <w:r w:rsidR="00637E75">
        <w:rPr>
          <w:rFonts w:ascii="Times New Roman" w:eastAsia="Calibri" w:hAnsi="Times New Roman" w:cs="Times New Roman"/>
        </w:rPr>
        <w:t xml:space="preserve">es à l’absence </w:t>
      </w:r>
      <w:r w:rsidRPr="00930D45">
        <w:rPr>
          <w:rFonts w:ascii="Times New Roman" w:eastAsia="Calibri" w:hAnsi="Times New Roman" w:cs="Times New Roman"/>
        </w:rPr>
        <w:t xml:space="preserve">du statut personnel </w:t>
      </w:r>
    </w:p>
    <w:p w14:paraId="2FBBD6C4" w14:textId="7E950248"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 xml:space="preserve">La lenteur judiciaire entraînant notamment la surpopulation carcérale </w:t>
      </w:r>
    </w:p>
    <w:p w14:paraId="542AE702"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L’insuffisance d’infrastructures administratives et de moyens logistiques</w:t>
      </w:r>
    </w:p>
    <w:p w14:paraId="0CED0E59"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La non-spécialisation des magistrats</w:t>
      </w:r>
    </w:p>
    <w:p w14:paraId="7D4C1EE8"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 xml:space="preserve">La mauvaise gestion de la carrière du personnel judiciaire </w:t>
      </w:r>
    </w:p>
    <w:p w14:paraId="6C4A9B6C" w14:textId="5DE312CA"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L’insuffisance en renforcement des capacités en ressources humai</w:t>
      </w:r>
      <w:r w:rsidR="00637E75">
        <w:rPr>
          <w:rFonts w:ascii="Times New Roman" w:eastAsia="Calibri" w:hAnsi="Times New Roman" w:cs="Times New Roman"/>
        </w:rPr>
        <w:t>nes (en quantité et en qualité),</w:t>
      </w:r>
      <w:r w:rsidRPr="00930D45">
        <w:rPr>
          <w:rFonts w:ascii="Times New Roman" w:eastAsia="Calibri" w:hAnsi="Times New Roman" w:cs="Times New Roman"/>
        </w:rPr>
        <w:t xml:space="preserve"> matérielles et financières limitant ainsi l’efficacité des services pénitentiaires </w:t>
      </w:r>
    </w:p>
    <w:p w14:paraId="053962DE"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L’insuffisance d’infrastructures administratives et de moyens logistiques ainsi que la méconnaissance des textes relatifs aux droits humains</w:t>
      </w:r>
    </w:p>
    <w:p w14:paraId="05929008"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L’insuffisance des financements et l’absence d’un système transparent de gestion ;</w:t>
      </w:r>
    </w:p>
    <w:p w14:paraId="62AC2AEB"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Le manque de données récentes sur la proportion de victimes de violences signalées aux autorités compétentes ou à d’autres mécanismes de règlement des différends</w:t>
      </w:r>
    </w:p>
    <w:p w14:paraId="01F75310"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L’absence de mécanisme de suivi et évaluation</w:t>
      </w:r>
    </w:p>
    <w:p w14:paraId="083A508D"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 xml:space="preserve">La faiblesse de l’offre de service juridique et judiciaire </w:t>
      </w:r>
    </w:p>
    <w:p w14:paraId="4030EC7E" w14:textId="2AF2559D" w:rsidR="0028280C" w:rsidRPr="00637E75" w:rsidRDefault="0028280C" w:rsidP="00637E75">
      <w:pPr>
        <w:pStyle w:val="Paragraphedeliste"/>
        <w:numPr>
          <w:ilvl w:val="0"/>
          <w:numId w:val="23"/>
        </w:numPr>
        <w:ind w:left="360"/>
        <w:jc w:val="both"/>
        <w:rPr>
          <w:rFonts w:ascii="Times New Roman" w:hAnsi="Times New Roman" w:cs="Times New Roman"/>
        </w:rPr>
      </w:pPr>
      <w:r w:rsidRPr="00637E75">
        <w:rPr>
          <w:rFonts w:ascii="Times New Roman" w:hAnsi="Times New Roman" w:cs="Times New Roman"/>
        </w:rPr>
        <w:t xml:space="preserve">Les droits de l’homme liés à la justice et à l’accès à la justice toujours </w:t>
      </w:r>
      <w:r w:rsidR="00637E75" w:rsidRPr="00637E75">
        <w:rPr>
          <w:rFonts w:ascii="Times New Roman" w:hAnsi="Times New Roman" w:cs="Times New Roman"/>
        </w:rPr>
        <w:t>faiblement</w:t>
      </w:r>
      <w:r w:rsidRPr="00637E75">
        <w:rPr>
          <w:rFonts w:ascii="Times New Roman" w:hAnsi="Times New Roman" w:cs="Times New Roman"/>
        </w:rPr>
        <w:t xml:space="preserve"> garantis (manque de moyens pour L’ANAJJ, ignorance des justiciables, éloignement des tribunaux etc.)</w:t>
      </w:r>
    </w:p>
    <w:p w14:paraId="2FED823F" w14:textId="77777777" w:rsidR="0028280C" w:rsidRPr="00930D45" w:rsidRDefault="0028280C" w:rsidP="0028280C">
      <w:pPr>
        <w:spacing w:before="60" w:after="0" w:line="240" w:lineRule="auto"/>
        <w:ind w:left="-41"/>
        <w:contextualSpacing/>
        <w:jc w:val="both"/>
        <w:rPr>
          <w:rFonts w:ascii="Times New Roman" w:eastAsia="Calibri" w:hAnsi="Times New Roman" w:cs="Times New Roman"/>
          <w:b/>
          <w:bCs/>
        </w:rPr>
      </w:pPr>
      <w:r w:rsidRPr="00930D45">
        <w:rPr>
          <w:rFonts w:ascii="Times New Roman" w:eastAsia="Calibri" w:hAnsi="Times New Roman" w:cs="Times New Roman"/>
          <w:bCs/>
        </w:rPr>
        <w:t>Le rapport justice et justiciable est caractérisé par</w:t>
      </w:r>
      <w:r w:rsidRPr="00930D45">
        <w:rPr>
          <w:rFonts w:ascii="Times New Roman" w:eastAsia="Calibri" w:hAnsi="Times New Roman" w:cs="Times New Roman"/>
          <w:b/>
          <w:bCs/>
        </w:rPr>
        <w:t xml:space="preserve"> : </w:t>
      </w:r>
    </w:p>
    <w:p w14:paraId="45AA6555"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Le coût élevé de l'accès aux services de la justice</w:t>
      </w:r>
    </w:p>
    <w:p w14:paraId="34FE3B6E"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 xml:space="preserve">La faiblesse du dispositif d’assistance juridique et judiciaire </w:t>
      </w:r>
    </w:p>
    <w:p w14:paraId="183AC4BA" w14:textId="3752D068"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 xml:space="preserve">La persistance de la corruption </w:t>
      </w:r>
    </w:p>
    <w:p w14:paraId="2199DE47"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Le caractère ésotérique du langage juridique</w:t>
      </w:r>
    </w:p>
    <w:p w14:paraId="26F100F1"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 xml:space="preserve">Le caractère hermétique de la justice </w:t>
      </w:r>
    </w:p>
    <w:p w14:paraId="06BDEB68"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 xml:space="preserve">Le sentiment d’injustice créé chez certains justiciables du fait de la non-exécution des décisions </w:t>
      </w:r>
    </w:p>
    <w:p w14:paraId="3EFC9DB1"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La Faiblesse de la société civile à promouvoir l'accès à la justice</w:t>
      </w:r>
    </w:p>
    <w:p w14:paraId="7C3A6FE1"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 xml:space="preserve">La Faible connaissance des services judiciaires et juridiques par la population </w:t>
      </w:r>
    </w:p>
    <w:p w14:paraId="68E3101C"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 xml:space="preserve">L’insuffisance dans l’accès et la jouissance des droits par certaines catégories de citoyens, notamment les femmes et les jeunes filles </w:t>
      </w:r>
    </w:p>
    <w:p w14:paraId="69EDE84C" w14:textId="717B76AB"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 xml:space="preserve">La faiblesse de la connaissance des textes par les titulaires </w:t>
      </w:r>
      <w:r w:rsidR="00637E75">
        <w:rPr>
          <w:rFonts w:ascii="Times New Roman" w:eastAsia="Calibri" w:hAnsi="Times New Roman" w:cs="Times New Roman"/>
        </w:rPr>
        <w:t xml:space="preserve">des droits </w:t>
      </w:r>
      <w:r w:rsidRPr="00930D45">
        <w:rPr>
          <w:rFonts w:ascii="Times New Roman" w:eastAsia="Calibri" w:hAnsi="Times New Roman" w:cs="Times New Roman"/>
        </w:rPr>
        <w:t xml:space="preserve">et les détenteurs </w:t>
      </w:r>
      <w:r w:rsidR="00637E75">
        <w:rPr>
          <w:rFonts w:ascii="Times New Roman" w:eastAsia="Calibri" w:hAnsi="Times New Roman" w:cs="Times New Roman"/>
        </w:rPr>
        <w:t>d’obligations</w:t>
      </w:r>
    </w:p>
    <w:p w14:paraId="66F59B8D"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La persistance des pesanteurs culturelles et religieuses pour le recours à la justice</w:t>
      </w:r>
    </w:p>
    <w:p w14:paraId="775D584C"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La faiblesse de la vulgarisation des textes (Lois, Ordonnances, Décrets, Arrêtés, etc.)</w:t>
      </w:r>
    </w:p>
    <w:p w14:paraId="531140E9"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 xml:space="preserve">L’insuffisance dans l’accès et la jouissance de leurs droits par certaines catégories de citoyens vulnérables notamment les femmes et les jeunes filles </w:t>
      </w:r>
    </w:p>
    <w:p w14:paraId="57F41AA9"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Le manque de stratégie de communication</w:t>
      </w:r>
    </w:p>
    <w:p w14:paraId="4AAFB470"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La persistance de l'impunité</w:t>
      </w:r>
    </w:p>
    <w:p w14:paraId="51AA0DDE" w14:textId="77777777" w:rsidR="0028280C" w:rsidRPr="00930D45" w:rsidRDefault="0028280C" w:rsidP="0028280C">
      <w:pPr>
        <w:spacing w:before="60" w:after="0" w:line="240" w:lineRule="auto"/>
        <w:ind w:left="319"/>
        <w:contextualSpacing/>
        <w:jc w:val="both"/>
        <w:rPr>
          <w:rFonts w:ascii="Times New Roman" w:eastAsia="Calibri" w:hAnsi="Times New Roman" w:cs="Times New Roman"/>
        </w:rPr>
      </w:pPr>
    </w:p>
    <w:p w14:paraId="03E2EE0B" w14:textId="6CD7DC4D" w:rsidR="0028280C" w:rsidRPr="00CD78AF" w:rsidRDefault="0028280C" w:rsidP="0028280C">
      <w:pPr>
        <w:spacing w:before="60" w:after="0" w:line="240" w:lineRule="auto"/>
        <w:ind w:left="-41"/>
        <w:contextualSpacing/>
        <w:jc w:val="both"/>
        <w:rPr>
          <w:rFonts w:ascii="Times New Roman" w:eastAsia="Calibri" w:hAnsi="Times New Roman" w:cs="Times New Roman"/>
          <w:bCs/>
        </w:rPr>
      </w:pPr>
      <w:r w:rsidRPr="00CD78AF">
        <w:rPr>
          <w:rFonts w:ascii="Times New Roman" w:eastAsia="Calibri" w:hAnsi="Times New Roman" w:cs="Times New Roman"/>
          <w:bCs/>
        </w:rPr>
        <w:t>Le fonctionnement des établissements</w:t>
      </w:r>
      <w:r w:rsidR="0073420D" w:rsidRPr="00CD78AF">
        <w:rPr>
          <w:rFonts w:ascii="Times New Roman" w:eastAsia="Calibri" w:hAnsi="Times New Roman" w:cs="Times New Roman"/>
          <w:bCs/>
        </w:rPr>
        <w:t xml:space="preserve"> pénitentiaires</w:t>
      </w:r>
      <w:r w:rsidRPr="00CD78AF">
        <w:rPr>
          <w:rFonts w:ascii="Times New Roman" w:eastAsia="Calibri" w:hAnsi="Times New Roman" w:cs="Times New Roman"/>
          <w:bCs/>
        </w:rPr>
        <w:t xml:space="preserve"> est handic</w:t>
      </w:r>
      <w:r w:rsidR="0073420D" w:rsidRPr="00CD78AF">
        <w:rPr>
          <w:rFonts w:ascii="Times New Roman" w:eastAsia="Calibri" w:hAnsi="Times New Roman" w:cs="Times New Roman"/>
          <w:bCs/>
        </w:rPr>
        <w:t>apé</w:t>
      </w:r>
      <w:r w:rsidRPr="00CD78AF">
        <w:rPr>
          <w:rFonts w:ascii="Times New Roman" w:eastAsia="Calibri" w:hAnsi="Times New Roman" w:cs="Times New Roman"/>
          <w:bCs/>
        </w:rPr>
        <w:t xml:space="preserve"> par les principaux défis suivants :  </w:t>
      </w:r>
    </w:p>
    <w:p w14:paraId="33D2E128"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L’insuffisance des moyens financiers et matériels servant à la prise en charge des détenus</w:t>
      </w:r>
    </w:p>
    <w:p w14:paraId="3C14881C"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L’absence du matériel roulant au niveau des centres pénitenciers</w:t>
      </w:r>
    </w:p>
    <w:p w14:paraId="7AB66612"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Le sous-effectif du personnel pénitentiaire</w:t>
      </w:r>
    </w:p>
    <w:p w14:paraId="4276C0D1"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 xml:space="preserve">La surpopulation carcérale et la lenteur judiciaires </w:t>
      </w:r>
    </w:p>
    <w:p w14:paraId="60CFEA90"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L’absence ou exiguïté des locaux incluant de terrain de sport et la séparation de mineures avec les majeurs</w:t>
      </w:r>
    </w:p>
    <w:p w14:paraId="236691F2" w14:textId="77777777" w:rsidR="0028280C" w:rsidRPr="00930D45" w:rsidRDefault="0028280C" w:rsidP="0028280C">
      <w:pPr>
        <w:numPr>
          <w:ilvl w:val="0"/>
          <w:numId w:val="23"/>
        </w:numPr>
        <w:spacing w:before="60" w:after="0" w:line="240" w:lineRule="auto"/>
        <w:ind w:left="319"/>
        <w:contextualSpacing/>
        <w:jc w:val="both"/>
        <w:rPr>
          <w:rFonts w:ascii="Times New Roman" w:eastAsia="Calibri" w:hAnsi="Times New Roman" w:cs="Times New Roman"/>
        </w:rPr>
      </w:pPr>
      <w:r w:rsidRPr="00930D45">
        <w:rPr>
          <w:rFonts w:ascii="Times New Roman" w:eastAsia="Calibri" w:hAnsi="Times New Roman" w:cs="Times New Roman"/>
        </w:rPr>
        <w:t xml:space="preserve">L’absence d’un corps spécialisé de gestion des établissements pénitenciers </w:t>
      </w:r>
    </w:p>
    <w:p w14:paraId="30F9BF84" w14:textId="52F24B39" w:rsidR="0028280C" w:rsidRPr="00930D45" w:rsidRDefault="0028280C" w:rsidP="0028280C">
      <w:pPr>
        <w:pStyle w:val="Paragraphedeliste"/>
        <w:numPr>
          <w:ilvl w:val="0"/>
          <w:numId w:val="23"/>
        </w:numPr>
        <w:ind w:left="284"/>
        <w:jc w:val="both"/>
        <w:rPr>
          <w:rFonts w:ascii="Times New Roman" w:hAnsi="Times New Roman" w:cs="Times New Roman"/>
        </w:rPr>
      </w:pPr>
      <w:r w:rsidRPr="00930D45">
        <w:rPr>
          <w:rFonts w:ascii="Times New Roman" w:hAnsi="Times New Roman" w:cs="Times New Roman"/>
        </w:rPr>
        <w:lastRenderedPageBreak/>
        <w:t>L’insuffisance des moyens de fo</w:t>
      </w:r>
      <w:r w:rsidR="009D7475">
        <w:rPr>
          <w:rFonts w:ascii="Times New Roman" w:hAnsi="Times New Roman" w:cs="Times New Roman"/>
        </w:rPr>
        <w:t>nctionnement pour assurer les tâ</w:t>
      </w:r>
      <w:r w:rsidRPr="00930D45">
        <w:rPr>
          <w:rFonts w:ascii="Times New Roman" w:hAnsi="Times New Roman" w:cs="Times New Roman"/>
        </w:rPr>
        <w:t>ches de la justice (manque de moyens roulants, insuffisance des crédits de fonctionnement)</w:t>
      </w:r>
    </w:p>
    <w:p w14:paraId="5116CA5C" w14:textId="14249180" w:rsidR="0073420D" w:rsidRDefault="0028280C" w:rsidP="0073420D">
      <w:pPr>
        <w:pStyle w:val="Paragraphedeliste"/>
        <w:numPr>
          <w:ilvl w:val="0"/>
          <w:numId w:val="23"/>
        </w:numPr>
        <w:ind w:left="284"/>
        <w:jc w:val="both"/>
        <w:rPr>
          <w:rFonts w:ascii="Times New Roman" w:hAnsi="Times New Roman" w:cs="Times New Roman"/>
        </w:rPr>
      </w:pPr>
      <w:r w:rsidRPr="00930D45">
        <w:rPr>
          <w:rFonts w:ascii="Times New Roman" w:hAnsi="Times New Roman" w:cs="Times New Roman"/>
        </w:rPr>
        <w:t xml:space="preserve">La situation de délabrement de certaines prisons et l’existence des tribunaux dépourvus de maisons et </w:t>
      </w:r>
      <w:r w:rsidR="009D7475">
        <w:rPr>
          <w:rFonts w:ascii="Times New Roman" w:hAnsi="Times New Roman" w:cs="Times New Roman"/>
        </w:rPr>
        <w:t xml:space="preserve">des tribunaux dotés de maisons </w:t>
      </w:r>
      <w:r w:rsidRPr="00930D45">
        <w:rPr>
          <w:rFonts w:ascii="Times New Roman" w:hAnsi="Times New Roman" w:cs="Times New Roman"/>
        </w:rPr>
        <w:t xml:space="preserve"> exiguës ou surpeuplées</w:t>
      </w:r>
    </w:p>
    <w:p w14:paraId="7834F32E" w14:textId="3353F770" w:rsidR="0028280C" w:rsidRPr="0073420D" w:rsidRDefault="0073420D" w:rsidP="0073420D">
      <w:pPr>
        <w:ind w:left="-76"/>
        <w:jc w:val="both"/>
        <w:rPr>
          <w:rFonts w:ascii="Times New Roman" w:hAnsi="Times New Roman" w:cs="Times New Roman"/>
        </w:rPr>
      </w:pPr>
      <w:r w:rsidRPr="0073420D">
        <w:rPr>
          <w:rFonts w:ascii="Times New Roman" w:hAnsi="Times New Roman" w:cs="Times New Roman"/>
        </w:rPr>
        <w:t>A l’occasion de l’examen du 2</w:t>
      </w:r>
      <w:r w:rsidRPr="0073420D">
        <w:rPr>
          <w:rFonts w:ascii="Times New Roman" w:hAnsi="Times New Roman" w:cs="Times New Roman"/>
          <w:vertAlign w:val="superscript"/>
        </w:rPr>
        <w:t>ème</w:t>
      </w:r>
      <w:r w:rsidRPr="0073420D">
        <w:rPr>
          <w:rFonts w:ascii="Times New Roman" w:hAnsi="Times New Roman" w:cs="Times New Roman"/>
        </w:rPr>
        <w:t xml:space="preserve"> rapport périodique du Niger sur le Pacte International sur les Droits Civils et Politiques, le comité des droits de l’homme a salué  l’adoption de la loi </w:t>
      </w:r>
      <w:r w:rsidRPr="0073420D">
        <w:rPr>
          <w:rFonts w:ascii="Times New Roman" w:eastAsia="Times New Roman" w:hAnsi="Times New Roman" w:cs="Times New Roman"/>
        </w:rPr>
        <w:t>n</w:t>
      </w:r>
      <w:r w:rsidRPr="0073420D">
        <w:rPr>
          <w:rFonts w:ascii="Times New Roman" w:eastAsia="Times New Roman" w:hAnsi="Times New Roman" w:cs="Times New Roman"/>
          <w:vertAlign w:val="superscript"/>
        </w:rPr>
        <w:t>o</w:t>
      </w:r>
      <w:r w:rsidRPr="0073420D">
        <w:rPr>
          <w:rFonts w:ascii="Times New Roman" w:eastAsia="Times New Roman" w:hAnsi="Times New Roman" w:cs="Times New Roman"/>
        </w:rPr>
        <w:t> </w:t>
      </w:r>
      <w:r w:rsidRPr="0073420D">
        <w:rPr>
          <w:rFonts w:ascii="Times New Roman" w:hAnsi="Times New Roman" w:cs="Times New Roman"/>
        </w:rPr>
        <w:t xml:space="preserve">2017-05 du 31 mars 2017, portant institution du travail d’intérêt général en substitution de peines privatives de liberté, ainsi que celle de la loi </w:t>
      </w:r>
      <w:r w:rsidRPr="0073420D">
        <w:rPr>
          <w:rFonts w:ascii="Times New Roman" w:eastAsia="Times New Roman" w:hAnsi="Times New Roman" w:cs="Times New Roman"/>
        </w:rPr>
        <w:t>n</w:t>
      </w:r>
      <w:r w:rsidRPr="0073420D">
        <w:rPr>
          <w:rFonts w:ascii="Times New Roman" w:eastAsia="Times New Roman" w:hAnsi="Times New Roman" w:cs="Times New Roman"/>
          <w:vertAlign w:val="superscript"/>
        </w:rPr>
        <w:t>o</w:t>
      </w:r>
      <w:r w:rsidRPr="0073420D">
        <w:rPr>
          <w:rFonts w:ascii="Times New Roman" w:eastAsia="Times New Roman" w:hAnsi="Times New Roman" w:cs="Times New Roman"/>
        </w:rPr>
        <w:t> </w:t>
      </w:r>
      <w:r w:rsidRPr="0073420D">
        <w:rPr>
          <w:rFonts w:ascii="Times New Roman" w:hAnsi="Times New Roman" w:cs="Times New Roman"/>
        </w:rPr>
        <w:t xml:space="preserve">2017-08 du 31 mars 2017 relative au régime pénitentiaire, qui prévoit l’augmentation des rations alimentaires de deux à trois repas par jour pour les détenus. Le Comité a toutefois exprimé sa préoccupation quant aux conditions de détention inadéquates qui semblent prévaloir dans la quasi-totalité des établissements pénitentiaires du pays à savoir : le taux d’occupation inquiétant de la prison de Niamey (d’une capacité initiale de 455 détenus, la prison compte à la date du 13 </w:t>
      </w:r>
      <w:r w:rsidR="009D7475">
        <w:rPr>
          <w:rFonts w:ascii="Times New Roman" w:hAnsi="Times New Roman" w:cs="Times New Roman"/>
        </w:rPr>
        <w:t>d</w:t>
      </w:r>
      <w:r w:rsidRPr="0073420D">
        <w:rPr>
          <w:rFonts w:ascii="Times New Roman" w:hAnsi="Times New Roman" w:cs="Times New Roman"/>
        </w:rPr>
        <w:t>écembre 2021, 1727 détenus dont 5</w:t>
      </w:r>
      <w:r>
        <w:rPr>
          <w:rFonts w:ascii="Times New Roman" w:hAnsi="Times New Roman" w:cs="Times New Roman"/>
        </w:rPr>
        <w:t>3 femmes et 6 filles mineures)</w:t>
      </w:r>
      <w:r w:rsidRPr="0073420D">
        <w:rPr>
          <w:rFonts w:ascii="Times New Roman" w:hAnsi="Times New Roman" w:cs="Times New Roman"/>
        </w:rPr>
        <w:t>, les informations faisant état de conditions sanitaires, médicales et alimentaires insatisfaisantes dans la plupart des établissements pénitentiaires, les ressources insuffisantes allouées au régime pénitentiaire ; l’absence de séparation entre prévenus et condamnés. Selon les statistiques du Ministère de la Justice en 2019</w:t>
      </w:r>
      <w:r>
        <w:rPr>
          <w:rFonts w:ascii="Times New Roman" w:hAnsi="Times New Roman" w:cs="Times New Roman"/>
        </w:rPr>
        <w:t>,</w:t>
      </w:r>
      <w:r w:rsidRPr="0073420D">
        <w:rPr>
          <w:rFonts w:ascii="Times New Roman" w:hAnsi="Times New Roman" w:cs="Times New Roman"/>
        </w:rPr>
        <w:t xml:space="preserve"> le ratio prévenus-condamnés était de 52% de prévenus contre 48% de condamnés.</w:t>
      </w:r>
      <w:r>
        <w:rPr>
          <w:rStyle w:val="Appelnotedebasdep"/>
          <w:rFonts w:ascii="Times New Roman" w:hAnsi="Times New Roman" w:cs="Times New Roman"/>
        </w:rPr>
        <w:footnoteReference w:id="13"/>
      </w:r>
    </w:p>
    <w:p w14:paraId="22622FD0" w14:textId="62A5B8FE" w:rsidR="0028280C" w:rsidRDefault="0028280C" w:rsidP="0028280C">
      <w:pPr>
        <w:pBdr>
          <w:top w:val="single" w:sz="4" w:space="1" w:color="auto"/>
          <w:left w:val="single" w:sz="4" w:space="4" w:color="auto"/>
          <w:bottom w:val="single" w:sz="4" w:space="1" w:color="auto"/>
          <w:right w:val="single" w:sz="4" w:space="4" w:color="auto"/>
        </w:pBdr>
        <w:shd w:val="clear" w:color="auto" w:fill="92D050"/>
        <w:jc w:val="both"/>
        <w:rPr>
          <w:rFonts w:ascii="Times New Roman" w:hAnsi="Times New Roman" w:cs="Times New Roman"/>
        </w:rPr>
      </w:pPr>
      <w:r w:rsidRPr="002A3FD1">
        <w:rPr>
          <w:rFonts w:ascii="Times New Roman" w:hAnsi="Times New Roman" w:cs="Times New Roman"/>
        </w:rPr>
        <w:t>En dépit</w:t>
      </w:r>
      <w:r>
        <w:rPr>
          <w:rFonts w:ascii="Times New Roman" w:hAnsi="Times New Roman" w:cs="Times New Roman"/>
        </w:rPr>
        <w:t xml:space="preserve"> de la conformité de l’organisation judiciaire à la constitution, l’analyse causale jointe en annexe  a révélé que </w:t>
      </w:r>
      <w:r w:rsidRPr="00FA1847">
        <w:rPr>
          <w:rFonts w:ascii="Times New Roman" w:hAnsi="Times New Roman" w:cs="Times New Roman"/>
          <w:b/>
          <w:i/>
          <w:sz w:val="24"/>
          <w:szCs w:val="24"/>
        </w:rPr>
        <w:t xml:space="preserve">le problème </w:t>
      </w:r>
      <w:r w:rsidR="009D7475">
        <w:rPr>
          <w:rFonts w:ascii="Times New Roman" w:hAnsi="Times New Roman" w:cs="Times New Roman"/>
          <w:b/>
          <w:i/>
          <w:sz w:val="24"/>
          <w:szCs w:val="24"/>
        </w:rPr>
        <w:t>majeur</w:t>
      </w:r>
      <w:r w:rsidRPr="00FA1847">
        <w:rPr>
          <w:rFonts w:ascii="Times New Roman" w:hAnsi="Times New Roman" w:cs="Times New Roman"/>
          <w:b/>
          <w:i/>
          <w:sz w:val="24"/>
          <w:szCs w:val="24"/>
        </w:rPr>
        <w:t xml:space="preserve"> de la gouvernance judiciaire</w:t>
      </w:r>
      <w:r w:rsidR="009D7475">
        <w:rPr>
          <w:rFonts w:ascii="Times New Roman" w:hAnsi="Times New Roman" w:cs="Times New Roman"/>
          <w:b/>
          <w:i/>
          <w:sz w:val="24"/>
          <w:szCs w:val="24"/>
        </w:rPr>
        <w:t xml:space="preserve"> et juridique</w:t>
      </w:r>
      <w:r w:rsidRPr="00FA1847">
        <w:rPr>
          <w:rFonts w:ascii="Times New Roman" w:hAnsi="Times New Roman" w:cs="Times New Roman"/>
          <w:b/>
          <w:i/>
          <w:sz w:val="24"/>
          <w:szCs w:val="24"/>
        </w:rPr>
        <w:t xml:space="preserve"> est le faible accès aux services judiciaires et juridiques.</w:t>
      </w:r>
      <w:r>
        <w:rPr>
          <w:rFonts w:ascii="Times New Roman" w:hAnsi="Times New Roman" w:cs="Times New Roman"/>
        </w:rPr>
        <w:t xml:space="preserve"> Elle a cerné les principales causes ci-après qui sont à l’origine de celui-ci : </w:t>
      </w:r>
      <w:r w:rsidRPr="00FA1847">
        <w:rPr>
          <w:rFonts w:ascii="Times New Roman" w:hAnsi="Times New Roman" w:cs="Times New Roman"/>
          <w:i/>
        </w:rPr>
        <w:t xml:space="preserve">Le  faible maillage territorial  des institutions de la justice ;  L’absence de digitalisation des données judiciaires ; La faible connaissance des services judiciaires et juridiques ; Le coût élevé de l'accès aux services de la justice ; La faiblesse de la société civile à promouvoir l'accès à la justice ;  L’insuffisance d’infrastructures administratives et de moyens logistiques ; L’insuffisance du personnel judiciaire ; La persistance de la corruption ;  La lenteur judiciaire entraînant notamment la surpopulation carcérale ; La persistance des pesanteurs culturelles et religieuses  pour le recours à la justice. </w:t>
      </w:r>
      <w:r>
        <w:rPr>
          <w:rFonts w:ascii="Times New Roman" w:hAnsi="Times New Roman" w:cs="Times New Roman"/>
        </w:rPr>
        <w:t xml:space="preserve">  </w:t>
      </w:r>
      <w:r w:rsidRPr="00FA1847">
        <w:rPr>
          <w:rFonts w:ascii="Times New Roman" w:hAnsi="Times New Roman" w:cs="Times New Roman"/>
        </w:rPr>
        <w:t xml:space="preserve"> </w:t>
      </w:r>
      <w:r>
        <w:rPr>
          <w:rFonts w:ascii="Times New Roman" w:hAnsi="Times New Roman" w:cs="Times New Roman"/>
        </w:rPr>
        <w:t xml:space="preserve">  </w:t>
      </w:r>
    </w:p>
    <w:p w14:paraId="2BD0FB08" w14:textId="77777777" w:rsidR="0028280C" w:rsidRPr="00E25B1F" w:rsidRDefault="0028280C" w:rsidP="00E25B1F">
      <w:pPr>
        <w:pStyle w:val="Titre3"/>
        <w:rPr>
          <w:rFonts w:ascii="Bernard MT Condensed" w:hAnsi="Bernard MT Condensed"/>
        </w:rPr>
      </w:pPr>
      <w:bookmarkStart w:id="99" w:name="_Toc86687719"/>
      <w:bookmarkStart w:id="100" w:name="_Toc89479401"/>
      <w:bookmarkStart w:id="101" w:name="_Toc89480899"/>
      <w:bookmarkStart w:id="102" w:name="_Toc94480141"/>
      <w:bookmarkStart w:id="103" w:name="_Toc94481802"/>
      <w:bookmarkStart w:id="104" w:name="_Toc94482065"/>
      <w:r w:rsidRPr="00E25B1F">
        <w:rPr>
          <w:rFonts w:ascii="Bernard MT Condensed" w:hAnsi="Bernard MT Condensed"/>
        </w:rPr>
        <w:t>I.3.5 - Etat des lieux de la gouvernance administrative et locale</w:t>
      </w:r>
      <w:bookmarkEnd w:id="99"/>
      <w:bookmarkEnd w:id="100"/>
      <w:bookmarkEnd w:id="101"/>
      <w:bookmarkEnd w:id="102"/>
      <w:bookmarkEnd w:id="103"/>
      <w:bookmarkEnd w:id="104"/>
    </w:p>
    <w:p w14:paraId="0B3B2BCA" w14:textId="636DDDD4" w:rsidR="0028280C" w:rsidRPr="00367042" w:rsidRDefault="0028280C" w:rsidP="0028280C">
      <w:pPr>
        <w:jc w:val="both"/>
        <w:rPr>
          <w:rFonts w:ascii="Times New Roman" w:hAnsi="Times New Roman" w:cs="Times New Roman"/>
        </w:rPr>
      </w:pPr>
      <w:r w:rsidRPr="00797ED5">
        <w:rPr>
          <w:rFonts w:ascii="Times New Roman" w:hAnsi="Times New Roman" w:cs="Times New Roman"/>
        </w:rPr>
        <w:t>La gouvernance administrative au niveau central est assurée par le gouvernement à travers les ministères et le</w:t>
      </w:r>
      <w:r>
        <w:rPr>
          <w:rFonts w:ascii="Times New Roman" w:hAnsi="Times New Roman" w:cs="Times New Roman"/>
        </w:rPr>
        <w:t xml:space="preserve">s autres structures publiques </w:t>
      </w:r>
      <w:r w:rsidRPr="00797ED5">
        <w:rPr>
          <w:rFonts w:ascii="Times New Roman" w:hAnsi="Times New Roman" w:cs="Times New Roman"/>
        </w:rPr>
        <w:t>qui leur sont rattachées. La gouvernance locale est exercée par les collectivités territoriales confor</w:t>
      </w:r>
      <w:r>
        <w:rPr>
          <w:rFonts w:ascii="Times New Roman" w:hAnsi="Times New Roman" w:cs="Times New Roman"/>
        </w:rPr>
        <w:t xml:space="preserve">mément à la loi régissant </w:t>
      </w:r>
      <w:r w:rsidRPr="00797ED5">
        <w:rPr>
          <w:rFonts w:ascii="Times New Roman" w:hAnsi="Times New Roman" w:cs="Times New Roman"/>
        </w:rPr>
        <w:t xml:space="preserve">la décentralisation. </w:t>
      </w:r>
      <w:r>
        <w:rPr>
          <w:rFonts w:ascii="Times New Roman" w:hAnsi="Times New Roman" w:cs="Times New Roman"/>
        </w:rPr>
        <w:t xml:space="preserve">Sur le plan administratif, </w:t>
      </w:r>
      <w:r w:rsidR="009D7475">
        <w:rPr>
          <w:rFonts w:ascii="Times New Roman" w:hAnsi="Times New Roman" w:cs="Times New Roman"/>
        </w:rPr>
        <w:t>l</w:t>
      </w:r>
      <w:r w:rsidRPr="00367042">
        <w:rPr>
          <w:rFonts w:ascii="Times New Roman" w:hAnsi="Times New Roman" w:cs="Times New Roman"/>
        </w:rPr>
        <w:t>e Niger est subdivisé en 8 régions, 63 départements et 266 communes dont 52 communes urbaines et 214 communes rurales. Le diagnostic réalisé en vue de l’élaboration de la politique nationale de l’aménagement du territoire (PNAT) a révélé que le Niger s’étend sur un vaste territoire faiblement intégré et structuré avec un développement économique insuffisant et non durable, caractérisé par d’importantes disparités inter et intrarégionales. Ces disparités s’observent beaucoup plus entre le centre et les zones frontalières. L’organisation administrative actu</w:t>
      </w:r>
      <w:r w:rsidR="009D7475">
        <w:rPr>
          <w:rFonts w:ascii="Times New Roman" w:hAnsi="Times New Roman" w:cs="Times New Roman"/>
        </w:rPr>
        <w:t xml:space="preserve">elle du pays montre que </w:t>
      </w:r>
      <w:r w:rsidRPr="00367042">
        <w:rPr>
          <w:rFonts w:ascii="Times New Roman" w:hAnsi="Times New Roman" w:cs="Times New Roman"/>
        </w:rPr>
        <w:t xml:space="preserve">7 régions, 39 départements et 75 communes sont frontaliers </w:t>
      </w:r>
      <w:r w:rsidR="009D7475">
        <w:rPr>
          <w:rFonts w:ascii="Times New Roman" w:hAnsi="Times New Roman" w:cs="Times New Roman"/>
        </w:rPr>
        <w:t>aux</w:t>
      </w:r>
      <w:r w:rsidRPr="00367042">
        <w:rPr>
          <w:rFonts w:ascii="Times New Roman" w:hAnsi="Times New Roman" w:cs="Times New Roman"/>
        </w:rPr>
        <w:t xml:space="preserve"> pays voisins. Selon l’INS, 51,1% de</w:t>
      </w:r>
      <w:r w:rsidR="009D7475">
        <w:rPr>
          <w:rFonts w:ascii="Times New Roman" w:hAnsi="Times New Roman" w:cs="Times New Roman"/>
        </w:rPr>
        <w:t xml:space="preserve"> la</w:t>
      </w:r>
      <w:r w:rsidRPr="00367042">
        <w:rPr>
          <w:rFonts w:ascii="Times New Roman" w:hAnsi="Times New Roman" w:cs="Times New Roman"/>
        </w:rPr>
        <w:t xml:space="preserve"> population totale vit dans les 39 départements frontaliers et près 30% d</w:t>
      </w:r>
      <w:r w:rsidR="009D7475">
        <w:rPr>
          <w:rFonts w:ascii="Times New Roman" w:hAnsi="Times New Roman" w:cs="Times New Roman"/>
        </w:rPr>
        <w:t>e la population nigérienne vi</w:t>
      </w:r>
      <w:r w:rsidRPr="00367042">
        <w:rPr>
          <w:rFonts w:ascii="Times New Roman" w:hAnsi="Times New Roman" w:cs="Times New Roman"/>
        </w:rPr>
        <w:t xml:space="preserve">t dans les 75 communes frontalières (Projection démographique RGPH 2012). </w:t>
      </w:r>
    </w:p>
    <w:p w14:paraId="20D1BDA1" w14:textId="57CDC59C" w:rsidR="0028280C" w:rsidRPr="009D7475" w:rsidRDefault="0028280C" w:rsidP="009D7475">
      <w:pPr>
        <w:jc w:val="both"/>
        <w:rPr>
          <w:rFonts w:ascii="Times New Roman" w:hAnsi="Times New Roman" w:cs="Times New Roman"/>
        </w:rPr>
      </w:pPr>
      <w:r w:rsidRPr="00367042">
        <w:rPr>
          <w:rFonts w:ascii="Times New Roman" w:hAnsi="Times New Roman" w:cs="Times New Roman"/>
        </w:rPr>
        <w:t xml:space="preserve">Le Gouvernement a adopté et met en œuvre une Politique Nationale de Décentralisation (PND) qui a favorisé notamment : la mise en place des conseils régionaux et municipaux, la mise en place de l’Agence Nationale de Financement des Collectivités Territoriales (ANFICT), la révision de la loi sur les recettes minières consacrant la rétrocession de 15% des recettes aux collectivités territoriales des zones abritant les industries extractives et l’adoption de plusieurs textes (décrets et arrêtés de dévolution) portant transfert de compétences et des ressources de l’Etat aux collectivités territoriales </w:t>
      </w:r>
      <w:r w:rsidRPr="00367042">
        <w:rPr>
          <w:rFonts w:ascii="Times New Roman" w:hAnsi="Times New Roman" w:cs="Times New Roman"/>
        </w:rPr>
        <w:lastRenderedPageBreak/>
        <w:t>(communes et régions) dans les domaines de la santé, de l’éducation, de l’hydraulique et de l’environnement</w:t>
      </w:r>
      <w:r w:rsidR="009D7475">
        <w:rPr>
          <w:rFonts w:ascii="Times New Roman" w:hAnsi="Times New Roman" w:cs="Times New Roman"/>
        </w:rPr>
        <w:t xml:space="preserve">, l’élaboration et la validation du </w:t>
      </w:r>
      <w:r w:rsidRPr="009D7475">
        <w:rPr>
          <w:rFonts w:ascii="Times New Roman" w:hAnsi="Times New Roman" w:cs="Times New Roman"/>
        </w:rPr>
        <w:t>Plan de Développement Régional (PDR)</w:t>
      </w:r>
      <w:r w:rsidR="009D7475">
        <w:rPr>
          <w:rFonts w:ascii="Times New Roman" w:hAnsi="Times New Roman" w:cs="Times New Roman"/>
        </w:rPr>
        <w:t>.</w:t>
      </w:r>
      <w:r w:rsidRPr="009D7475">
        <w:rPr>
          <w:rFonts w:ascii="Times New Roman" w:hAnsi="Times New Roman" w:cs="Times New Roman"/>
        </w:rPr>
        <w:t xml:space="preserve"> Des réflexions sont en cours pour l’élaboration d’un Plan de Développement Intégré (PDI) pour la ville de Niamey qui fait office de PDR</w:t>
      </w:r>
      <w:r w:rsidR="009D7475">
        <w:rPr>
          <w:rFonts w:ascii="Times New Roman" w:hAnsi="Times New Roman" w:cs="Times New Roman"/>
        </w:rPr>
        <w:t>.</w:t>
      </w:r>
      <w:r w:rsidRPr="009D7475">
        <w:rPr>
          <w:rFonts w:ascii="Times New Roman" w:hAnsi="Times New Roman" w:cs="Times New Roman"/>
        </w:rPr>
        <w:t xml:space="preserve"> La plupart des communes (248 sur 255) disposent de plan de développement communal (PDC)</w:t>
      </w:r>
    </w:p>
    <w:p w14:paraId="12FD74A9" w14:textId="77777777" w:rsidR="0028280C" w:rsidRPr="00367042" w:rsidRDefault="0028280C" w:rsidP="0028280C">
      <w:pPr>
        <w:jc w:val="both"/>
        <w:rPr>
          <w:rFonts w:ascii="Times New Roman" w:hAnsi="Times New Roman" w:cs="Times New Roman"/>
        </w:rPr>
      </w:pPr>
      <w:r w:rsidRPr="00367042">
        <w:rPr>
          <w:rFonts w:ascii="Times New Roman" w:hAnsi="Times New Roman" w:cs="Times New Roman"/>
        </w:rPr>
        <w:t>Le diagnostic de la gouvernance administrative et locale a fait ressortir les principaux défis suivants :</w:t>
      </w:r>
    </w:p>
    <w:p w14:paraId="207123FB" w14:textId="6072AC69" w:rsidR="0028280C" w:rsidRPr="00367042" w:rsidRDefault="0028280C" w:rsidP="0028280C">
      <w:pPr>
        <w:pStyle w:val="Paragraphedeliste"/>
        <w:numPr>
          <w:ilvl w:val="0"/>
          <w:numId w:val="22"/>
        </w:numPr>
        <w:jc w:val="both"/>
        <w:rPr>
          <w:rFonts w:ascii="Times New Roman" w:hAnsi="Times New Roman" w:cs="Times New Roman"/>
        </w:rPr>
      </w:pPr>
      <w:r w:rsidRPr="00367042">
        <w:rPr>
          <w:rFonts w:ascii="Times New Roman" w:hAnsi="Times New Roman" w:cs="Times New Roman"/>
        </w:rPr>
        <w:t>L’offre insuffisante des services publics dans les régions</w:t>
      </w:r>
      <w:r w:rsidR="00A02BB4">
        <w:rPr>
          <w:rFonts w:ascii="Times New Roman" w:hAnsi="Times New Roman" w:cs="Times New Roman"/>
        </w:rPr>
        <w:t> ;</w:t>
      </w:r>
      <w:r w:rsidRPr="00367042">
        <w:rPr>
          <w:rFonts w:ascii="Times New Roman" w:hAnsi="Times New Roman" w:cs="Times New Roman"/>
        </w:rPr>
        <w:t xml:space="preserve"> </w:t>
      </w:r>
    </w:p>
    <w:p w14:paraId="2F7E0A95" w14:textId="27F75279" w:rsidR="0028280C" w:rsidRPr="00367042" w:rsidRDefault="0028280C" w:rsidP="0028280C">
      <w:pPr>
        <w:pStyle w:val="Paragraphedeliste"/>
        <w:numPr>
          <w:ilvl w:val="0"/>
          <w:numId w:val="22"/>
        </w:numPr>
        <w:jc w:val="both"/>
        <w:rPr>
          <w:rFonts w:ascii="Times New Roman" w:hAnsi="Times New Roman" w:cs="Times New Roman"/>
        </w:rPr>
      </w:pPr>
      <w:r w:rsidRPr="00367042">
        <w:rPr>
          <w:rFonts w:ascii="Times New Roman" w:hAnsi="Times New Roman" w:cs="Times New Roman"/>
        </w:rPr>
        <w:t>L’insuffisance des services administratifs de proximité</w:t>
      </w:r>
      <w:r w:rsidR="00A02BB4">
        <w:rPr>
          <w:rFonts w:ascii="Times New Roman" w:hAnsi="Times New Roman" w:cs="Times New Roman"/>
        </w:rPr>
        <w:t> ;</w:t>
      </w:r>
    </w:p>
    <w:p w14:paraId="1168CB07" w14:textId="77777777" w:rsidR="0028280C" w:rsidRPr="00367042" w:rsidRDefault="0028280C" w:rsidP="0028280C">
      <w:pPr>
        <w:pStyle w:val="Paragraphedeliste"/>
        <w:numPr>
          <w:ilvl w:val="0"/>
          <w:numId w:val="22"/>
        </w:numPr>
        <w:jc w:val="both"/>
        <w:rPr>
          <w:rFonts w:ascii="Times New Roman" w:hAnsi="Times New Roman" w:cs="Times New Roman"/>
        </w:rPr>
      </w:pPr>
      <w:r w:rsidRPr="00367042">
        <w:rPr>
          <w:rFonts w:ascii="Times New Roman" w:hAnsi="Times New Roman" w:cs="Times New Roman"/>
        </w:rPr>
        <w:t>L’inadéquation entre les missions dévolues à l’administration territoriale et le profil du personnel qui y exerce ;</w:t>
      </w:r>
    </w:p>
    <w:p w14:paraId="7C41774C" w14:textId="6A7FAE79" w:rsidR="0028280C" w:rsidRPr="00367042" w:rsidRDefault="0028280C" w:rsidP="0028280C">
      <w:pPr>
        <w:pStyle w:val="Paragraphedeliste"/>
        <w:numPr>
          <w:ilvl w:val="0"/>
          <w:numId w:val="22"/>
        </w:numPr>
        <w:jc w:val="both"/>
        <w:rPr>
          <w:rFonts w:ascii="Times New Roman" w:hAnsi="Times New Roman" w:cs="Times New Roman"/>
        </w:rPr>
      </w:pPr>
      <w:r w:rsidRPr="00367042">
        <w:rPr>
          <w:rFonts w:ascii="Times New Roman" w:hAnsi="Times New Roman" w:cs="Times New Roman"/>
        </w:rPr>
        <w:t>L’incohérence entre l'allocation effective des ressources financières et la dévolution de responsabilités aux collectivités locales</w:t>
      </w:r>
      <w:r w:rsidR="00A02BB4">
        <w:rPr>
          <w:rFonts w:ascii="Times New Roman" w:hAnsi="Times New Roman" w:cs="Times New Roman"/>
        </w:rPr>
        <w:t> ;</w:t>
      </w:r>
    </w:p>
    <w:p w14:paraId="768AA1CE" w14:textId="2C319F1D" w:rsidR="0028280C" w:rsidRPr="00367042" w:rsidRDefault="0028280C" w:rsidP="0028280C">
      <w:pPr>
        <w:pStyle w:val="Paragraphedeliste"/>
        <w:numPr>
          <w:ilvl w:val="0"/>
          <w:numId w:val="22"/>
        </w:numPr>
        <w:jc w:val="both"/>
        <w:rPr>
          <w:rFonts w:ascii="Times New Roman" w:hAnsi="Times New Roman" w:cs="Times New Roman"/>
        </w:rPr>
      </w:pPr>
      <w:r w:rsidRPr="00367042">
        <w:rPr>
          <w:rFonts w:ascii="Times New Roman" w:hAnsi="Times New Roman" w:cs="Times New Roman"/>
        </w:rPr>
        <w:t>La dégradation des performances et des capacités des administrations publiques liée à leur politisation et à la corruption</w:t>
      </w:r>
      <w:r w:rsidR="00A02BB4">
        <w:rPr>
          <w:rFonts w:ascii="Times New Roman" w:hAnsi="Times New Roman" w:cs="Times New Roman"/>
        </w:rPr>
        <w:t> ;</w:t>
      </w:r>
    </w:p>
    <w:p w14:paraId="3F6E5E23" w14:textId="77777777" w:rsidR="0028280C" w:rsidRPr="00367042" w:rsidRDefault="0028280C" w:rsidP="0028280C">
      <w:pPr>
        <w:pStyle w:val="Paragraphedeliste"/>
        <w:numPr>
          <w:ilvl w:val="0"/>
          <w:numId w:val="22"/>
        </w:numPr>
        <w:jc w:val="both"/>
        <w:rPr>
          <w:rFonts w:ascii="Times New Roman" w:hAnsi="Times New Roman" w:cs="Times New Roman"/>
        </w:rPr>
      </w:pPr>
      <w:r w:rsidRPr="00367042">
        <w:rPr>
          <w:rFonts w:ascii="Times New Roman" w:hAnsi="Times New Roman" w:cs="Times New Roman"/>
        </w:rPr>
        <w:t>Le faible niveau d’opérationnalisation des textes de la fonction publique territoriale ;</w:t>
      </w:r>
    </w:p>
    <w:p w14:paraId="081E39C3" w14:textId="77777777" w:rsidR="0028280C" w:rsidRPr="00367042" w:rsidRDefault="0028280C" w:rsidP="0028280C">
      <w:pPr>
        <w:pStyle w:val="Paragraphedeliste"/>
        <w:numPr>
          <w:ilvl w:val="0"/>
          <w:numId w:val="22"/>
        </w:numPr>
        <w:jc w:val="both"/>
        <w:rPr>
          <w:rFonts w:ascii="Times New Roman" w:hAnsi="Times New Roman" w:cs="Times New Roman"/>
        </w:rPr>
      </w:pPr>
      <w:r w:rsidRPr="00367042">
        <w:rPr>
          <w:rFonts w:ascii="Times New Roman" w:hAnsi="Times New Roman" w:cs="Times New Roman"/>
        </w:rPr>
        <w:t>Le faible niveau d’appropriation des textes sur la décentralisation par les élus locaux et les autres acteurs du processus de mise en œuvre de la décentralisation ;</w:t>
      </w:r>
    </w:p>
    <w:p w14:paraId="0A9AA78A" w14:textId="77777777" w:rsidR="0028280C" w:rsidRPr="00367042" w:rsidRDefault="0028280C" w:rsidP="0028280C">
      <w:pPr>
        <w:pStyle w:val="Paragraphedeliste"/>
        <w:numPr>
          <w:ilvl w:val="0"/>
          <w:numId w:val="22"/>
        </w:numPr>
        <w:jc w:val="both"/>
        <w:rPr>
          <w:rFonts w:ascii="Times New Roman" w:hAnsi="Times New Roman" w:cs="Times New Roman"/>
        </w:rPr>
      </w:pPr>
      <w:r w:rsidRPr="00367042">
        <w:rPr>
          <w:rFonts w:ascii="Times New Roman" w:hAnsi="Times New Roman" w:cs="Times New Roman"/>
        </w:rPr>
        <w:t>L’insuffisance dans la maîtrise d’ouvrage du développement local par les collectivités territoriales ;</w:t>
      </w:r>
    </w:p>
    <w:p w14:paraId="6A1A075D" w14:textId="16B1B4C4" w:rsidR="0028280C" w:rsidRPr="00367042" w:rsidRDefault="0028280C" w:rsidP="0028280C">
      <w:pPr>
        <w:pStyle w:val="Paragraphedeliste"/>
        <w:numPr>
          <w:ilvl w:val="0"/>
          <w:numId w:val="22"/>
        </w:numPr>
        <w:jc w:val="both"/>
        <w:rPr>
          <w:rFonts w:ascii="Times New Roman" w:hAnsi="Times New Roman" w:cs="Times New Roman"/>
        </w:rPr>
      </w:pPr>
      <w:r w:rsidRPr="00367042">
        <w:rPr>
          <w:rFonts w:ascii="Times New Roman" w:hAnsi="Times New Roman" w:cs="Times New Roman"/>
        </w:rPr>
        <w:t>Le faible niveau d'effectivité du transfert des compétences et de ressources par l’Etat aux collectivités territoriales</w:t>
      </w:r>
      <w:r w:rsidR="00A02BB4">
        <w:rPr>
          <w:rFonts w:ascii="Times New Roman" w:hAnsi="Times New Roman" w:cs="Times New Roman"/>
        </w:rPr>
        <w:t> ;</w:t>
      </w:r>
      <w:r w:rsidRPr="00367042">
        <w:rPr>
          <w:rFonts w:ascii="Times New Roman" w:hAnsi="Times New Roman" w:cs="Times New Roman"/>
        </w:rPr>
        <w:t xml:space="preserve"> </w:t>
      </w:r>
    </w:p>
    <w:p w14:paraId="03995767" w14:textId="784541B0" w:rsidR="0028280C" w:rsidRPr="00367042" w:rsidRDefault="009D7475" w:rsidP="0028280C">
      <w:pPr>
        <w:pStyle w:val="Paragraphedeliste"/>
        <w:numPr>
          <w:ilvl w:val="0"/>
          <w:numId w:val="22"/>
        </w:numPr>
        <w:jc w:val="both"/>
        <w:rPr>
          <w:rFonts w:ascii="Times New Roman" w:hAnsi="Times New Roman" w:cs="Times New Roman"/>
        </w:rPr>
      </w:pPr>
      <w:r>
        <w:rPr>
          <w:rFonts w:ascii="Times New Roman" w:hAnsi="Times New Roman" w:cs="Times New Roman"/>
        </w:rPr>
        <w:t>La baisse</w:t>
      </w:r>
      <w:r w:rsidR="0028280C" w:rsidRPr="00367042">
        <w:rPr>
          <w:rFonts w:ascii="Times New Roman" w:hAnsi="Times New Roman" w:cs="Times New Roman"/>
        </w:rPr>
        <w:t xml:space="preserve"> des performances et des capacités des administrations publiques</w:t>
      </w:r>
    </w:p>
    <w:p w14:paraId="2CBAAB03" w14:textId="09E6388E" w:rsidR="0028280C" w:rsidRPr="00367042" w:rsidRDefault="009D7475" w:rsidP="0028280C">
      <w:pPr>
        <w:pStyle w:val="Paragraphedeliste"/>
        <w:numPr>
          <w:ilvl w:val="0"/>
          <w:numId w:val="22"/>
        </w:numPr>
        <w:jc w:val="both"/>
        <w:rPr>
          <w:rFonts w:ascii="Times New Roman" w:hAnsi="Times New Roman" w:cs="Times New Roman"/>
        </w:rPr>
      </w:pPr>
      <w:r>
        <w:rPr>
          <w:rFonts w:ascii="Times New Roman" w:hAnsi="Times New Roman" w:cs="Times New Roman"/>
        </w:rPr>
        <w:t>La faiblesse de</w:t>
      </w:r>
      <w:r w:rsidR="0028280C" w:rsidRPr="00367042">
        <w:rPr>
          <w:rFonts w:ascii="Times New Roman" w:hAnsi="Times New Roman" w:cs="Times New Roman"/>
        </w:rPr>
        <w:t xml:space="preserve"> l’accompagnement des collectivités territoriales et </w:t>
      </w:r>
      <w:r>
        <w:rPr>
          <w:rFonts w:ascii="Times New Roman" w:hAnsi="Times New Roman" w:cs="Times New Roman"/>
        </w:rPr>
        <w:t xml:space="preserve">de </w:t>
      </w:r>
      <w:r w:rsidR="0028280C" w:rsidRPr="00367042">
        <w:rPr>
          <w:rFonts w:ascii="Times New Roman" w:hAnsi="Times New Roman" w:cs="Times New Roman"/>
        </w:rPr>
        <w:t>l'exercice de la tutelle par les représentants de l’administration territoriale ;</w:t>
      </w:r>
    </w:p>
    <w:p w14:paraId="103F6C75" w14:textId="55A3D1E2" w:rsidR="0028280C" w:rsidRPr="00367042" w:rsidRDefault="009D7475" w:rsidP="0028280C">
      <w:pPr>
        <w:pStyle w:val="Paragraphedeliste"/>
        <w:numPr>
          <w:ilvl w:val="0"/>
          <w:numId w:val="22"/>
        </w:numPr>
        <w:jc w:val="both"/>
        <w:rPr>
          <w:rFonts w:ascii="Times New Roman" w:hAnsi="Times New Roman" w:cs="Times New Roman"/>
        </w:rPr>
      </w:pPr>
      <w:r>
        <w:rPr>
          <w:rFonts w:ascii="Times New Roman" w:hAnsi="Times New Roman" w:cs="Times New Roman"/>
        </w:rPr>
        <w:t>La f</w:t>
      </w:r>
      <w:r w:rsidR="0028280C" w:rsidRPr="00367042">
        <w:rPr>
          <w:rFonts w:ascii="Times New Roman" w:hAnsi="Times New Roman" w:cs="Times New Roman"/>
        </w:rPr>
        <w:t xml:space="preserve">aiblesse </w:t>
      </w:r>
      <w:r>
        <w:rPr>
          <w:rFonts w:ascii="Times New Roman" w:hAnsi="Times New Roman" w:cs="Times New Roman"/>
        </w:rPr>
        <w:t>de la mise en œuvre de</w:t>
      </w:r>
      <w:r w:rsidR="0028280C" w:rsidRPr="00367042">
        <w:rPr>
          <w:rFonts w:ascii="Times New Roman" w:hAnsi="Times New Roman" w:cs="Times New Roman"/>
        </w:rPr>
        <w:t xml:space="preserve"> la politique de recrutement et de maintien des agents </w:t>
      </w:r>
    </w:p>
    <w:p w14:paraId="6C307A3A" w14:textId="0FC7AF20" w:rsidR="0028280C" w:rsidRPr="00367042" w:rsidRDefault="0028280C" w:rsidP="0028280C">
      <w:pPr>
        <w:pStyle w:val="Paragraphedeliste"/>
        <w:numPr>
          <w:ilvl w:val="0"/>
          <w:numId w:val="22"/>
        </w:numPr>
        <w:jc w:val="both"/>
        <w:rPr>
          <w:rFonts w:ascii="Times New Roman" w:hAnsi="Times New Roman" w:cs="Times New Roman"/>
        </w:rPr>
      </w:pPr>
      <w:r w:rsidRPr="00367042">
        <w:rPr>
          <w:rFonts w:ascii="Times New Roman" w:hAnsi="Times New Roman" w:cs="Times New Roman"/>
        </w:rPr>
        <w:t>Le faible niveau de dématérialisation des procédures administratives</w:t>
      </w:r>
      <w:r w:rsidR="00A02BB4">
        <w:rPr>
          <w:rFonts w:ascii="Times New Roman" w:hAnsi="Times New Roman" w:cs="Times New Roman"/>
        </w:rPr>
        <w:t> ;</w:t>
      </w:r>
    </w:p>
    <w:p w14:paraId="1ACDE5FA" w14:textId="77777777" w:rsidR="0028280C" w:rsidRPr="00367042" w:rsidRDefault="0028280C" w:rsidP="0028280C">
      <w:pPr>
        <w:pStyle w:val="Paragraphedeliste"/>
        <w:numPr>
          <w:ilvl w:val="0"/>
          <w:numId w:val="22"/>
        </w:numPr>
        <w:jc w:val="both"/>
        <w:rPr>
          <w:rFonts w:ascii="Times New Roman" w:hAnsi="Times New Roman" w:cs="Times New Roman"/>
        </w:rPr>
      </w:pPr>
      <w:r w:rsidRPr="00367042">
        <w:rPr>
          <w:rFonts w:ascii="Times New Roman" w:hAnsi="Times New Roman" w:cs="Times New Roman"/>
        </w:rPr>
        <w:t>Le faible niveau de mobilisation des ressources internes et externes par les collectivités territoriales ;</w:t>
      </w:r>
    </w:p>
    <w:p w14:paraId="67FC78AA" w14:textId="6A018472" w:rsidR="0028280C" w:rsidRPr="00367042" w:rsidRDefault="0028280C" w:rsidP="0028280C">
      <w:pPr>
        <w:pStyle w:val="Paragraphedeliste"/>
        <w:numPr>
          <w:ilvl w:val="0"/>
          <w:numId w:val="22"/>
        </w:numPr>
        <w:jc w:val="both"/>
        <w:rPr>
          <w:rFonts w:ascii="Times New Roman" w:hAnsi="Times New Roman" w:cs="Times New Roman"/>
        </w:rPr>
      </w:pPr>
      <w:r w:rsidRPr="00367042">
        <w:rPr>
          <w:rFonts w:ascii="Times New Roman" w:hAnsi="Times New Roman" w:cs="Times New Roman"/>
        </w:rPr>
        <w:t>La mauvaise gouvernance des collectivités territoriales</w:t>
      </w:r>
      <w:r w:rsidR="00A02BB4">
        <w:rPr>
          <w:rFonts w:ascii="Times New Roman" w:hAnsi="Times New Roman" w:cs="Times New Roman"/>
        </w:rPr>
        <w:t> ;</w:t>
      </w:r>
      <w:r w:rsidRPr="00367042">
        <w:rPr>
          <w:rFonts w:ascii="Times New Roman" w:hAnsi="Times New Roman" w:cs="Times New Roman"/>
        </w:rPr>
        <w:t xml:space="preserve"> </w:t>
      </w:r>
    </w:p>
    <w:p w14:paraId="5BAE1196" w14:textId="55EFBFFB" w:rsidR="0028280C" w:rsidRPr="00367042" w:rsidRDefault="0028280C" w:rsidP="0028280C">
      <w:pPr>
        <w:pStyle w:val="Paragraphedeliste"/>
        <w:numPr>
          <w:ilvl w:val="0"/>
          <w:numId w:val="22"/>
        </w:numPr>
        <w:jc w:val="both"/>
        <w:rPr>
          <w:rFonts w:ascii="Times New Roman" w:hAnsi="Times New Roman" w:cs="Times New Roman"/>
        </w:rPr>
      </w:pPr>
      <w:r w:rsidRPr="00367042">
        <w:rPr>
          <w:rFonts w:ascii="Times New Roman" w:hAnsi="Times New Roman" w:cs="Times New Roman"/>
        </w:rPr>
        <w:t>La non-effectivité du transfert des compétences et des ressources</w:t>
      </w:r>
      <w:r w:rsidR="00A02BB4">
        <w:rPr>
          <w:rFonts w:ascii="Times New Roman" w:hAnsi="Times New Roman" w:cs="Times New Roman"/>
        </w:rPr>
        <w:t> ;</w:t>
      </w:r>
    </w:p>
    <w:p w14:paraId="3FE57CB0" w14:textId="50FE64DC" w:rsidR="0028280C" w:rsidRPr="00367042" w:rsidRDefault="009D7475" w:rsidP="0028280C">
      <w:pPr>
        <w:pStyle w:val="Paragraphedeliste"/>
        <w:numPr>
          <w:ilvl w:val="0"/>
          <w:numId w:val="22"/>
        </w:numPr>
        <w:jc w:val="both"/>
        <w:rPr>
          <w:rFonts w:ascii="Times New Roman" w:hAnsi="Times New Roman" w:cs="Times New Roman"/>
        </w:rPr>
      </w:pPr>
      <w:r>
        <w:rPr>
          <w:rFonts w:ascii="Times New Roman" w:hAnsi="Times New Roman" w:cs="Times New Roman"/>
        </w:rPr>
        <w:t>La quasi absence de l’</w:t>
      </w:r>
      <w:r w:rsidR="0028280C" w:rsidRPr="00367042">
        <w:rPr>
          <w:rFonts w:ascii="Times New Roman" w:hAnsi="Times New Roman" w:cs="Times New Roman"/>
        </w:rPr>
        <w:t xml:space="preserve">administration communale et régionale d’une part et </w:t>
      </w:r>
      <w:r>
        <w:rPr>
          <w:rFonts w:ascii="Times New Roman" w:hAnsi="Times New Roman" w:cs="Times New Roman"/>
        </w:rPr>
        <w:t>le</w:t>
      </w:r>
      <w:r w:rsidR="0028280C" w:rsidRPr="00367042">
        <w:rPr>
          <w:rFonts w:ascii="Times New Roman" w:hAnsi="Times New Roman" w:cs="Times New Roman"/>
        </w:rPr>
        <w:t xml:space="preserve"> faible encadrement technique sapant les fonctions essentielles de tutelle et de représentation de l’Etat d’autre part</w:t>
      </w:r>
      <w:r w:rsidR="00A02BB4">
        <w:rPr>
          <w:rFonts w:ascii="Times New Roman" w:hAnsi="Times New Roman" w:cs="Times New Roman"/>
        </w:rPr>
        <w:t> ;</w:t>
      </w:r>
    </w:p>
    <w:p w14:paraId="61ED3391" w14:textId="45F6790D" w:rsidR="0028280C" w:rsidRPr="00367042" w:rsidRDefault="0028280C" w:rsidP="0028280C">
      <w:pPr>
        <w:pStyle w:val="Paragraphedeliste"/>
        <w:numPr>
          <w:ilvl w:val="0"/>
          <w:numId w:val="22"/>
        </w:numPr>
        <w:jc w:val="both"/>
        <w:rPr>
          <w:rFonts w:ascii="Times New Roman" w:hAnsi="Times New Roman" w:cs="Times New Roman"/>
        </w:rPr>
      </w:pPr>
      <w:r w:rsidRPr="00367042">
        <w:rPr>
          <w:rFonts w:ascii="Times New Roman" w:hAnsi="Times New Roman" w:cs="Times New Roman"/>
        </w:rPr>
        <w:t>La faible communication entre l’administration centrale et les services déconcentrés</w:t>
      </w:r>
      <w:r w:rsidR="00A02BB4">
        <w:rPr>
          <w:rFonts w:ascii="Times New Roman" w:hAnsi="Times New Roman" w:cs="Times New Roman"/>
        </w:rPr>
        <w:t> ;</w:t>
      </w:r>
      <w:r w:rsidRPr="00367042">
        <w:rPr>
          <w:rFonts w:ascii="Times New Roman" w:hAnsi="Times New Roman" w:cs="Times New Roman"/>
        </w:rPr>
        <w:t xml:space="preserve"> </w:t>
      </w:r>
    </w:p>
    <w:p w14:paraId="63E03464" w14:textId="3E578220" w:rsidR="0028280C" w:rsidRPr="00367042" w:rsidRDefault="00A02BB4" w:rsidP="0028280C">
      <w:pPr>
        <w:pStyle w:val="Paragraphedeliste"/>
        <w:numPr>
          <w:ilvl w:val="0"/>
          <w:numId w:val="22"/>
        </w:numPr>
        <w:jc w:val="both"/>
        <w:rPr>
          <w:rFonts w:ascii="Times New Roman" w:hAnsi="Times New Roman" w:cs="Times New Roman"/>
        </w:rPr>
      </w:pPr>
      <w:r>
        <w:rPr>
          <w:rFonts w:ascii="Times New Roman" w:hAnsi="Times New Roman" w:cs="Times New Roman"/>
        </w:rPr>
        <w:t>La</w:t>
      </w:r>
      <w:r w:rsidR="0028280C" w:rsidRPr="00367042">
        <w:rPr>
          <w:rFonts w:ascii="Times New Roman" w:hAnsi="Times New Roman" w:cs="Times New Roman"/>
        </w:rPr>
        <w:t xml:space="preserve"> forte concentration des populations le long des frontières du Sud du pays créant un déséquilibre en matière d’accès aux service sociaux de base avec une pression foncière et une insuffisance de moyens de production ;</w:t>
      </w:r>
    </w:p>
    <w:p w14:paraId="2B46BDB1" w14:textId="1B5E4246" w:rsidR="0028280C" w:rsidRPr="00367042" w:rsidRDefault="00A02BB4" w:rsidP="0028280C">
      <w:pPr>
        <w:pStyle w:val="Paragraphedeliste"/>
        <w:numPr>
          <w:ilvl w:val="0"/>
          <w:numId w:val="22"/>
        </w:numPr>
        <w:jc w:val="both"/>
        <w:rPr>
          <w:rFonts w:ascii="Times New Roman" w:hAnsi="Times New Roman" w:cs="Times New Roman"/>
        </w:rPr>
      </w:pPr>
      <w:r>
        <w:rPr>
          <w:rFonts w:ascii="Times New Roman" w:hAnsi="Times New Roman" w:cs="Times New Roman"/>
        </w:rPr>
        <w:t xml:space="preserve">Le </w:t>
      </w:r>
      <w:r w:rsidR="0028280C" w:rsidRPr="00367042">
        <w:rPr>
          <w:rFonts w:ascii="Times New Roman" w:hAnsi="Times New Roman" w:cs="Times New Roman"/>
        </w:rPr>
        <w:t xml:space="preserve"> sous-équipement des villages frontaliers en infrastructures sociales de base (écoles, centres de santés, points d’eau) et l’état de délabrement des quelques infrastructures existantes ;</w:t>
      </w:r>
    </w:p>
    <w:p w14:paraId="53E7EF37" w14:textId="39350CE3" w:rsidR="0028280C" w:rsidRPr="00367042" w:rsidRDefault="00A02BB4" w:rsidP="0028280C">
      <w:pPr>
        <w:pStyle w:val="Paragraphedeliste"/>
        <w:numPr>
          <w:ilvl w:val="0"/>
          <w:numId w:val="22"/>
        </w:numPr>
        <w:jc w:val="both"/>
        <w:rPr>
          <w:rFonts w:ascii="Times New Roman" w:hAnsi="Times New Roman" w:cs="Times New Roman"/>
        </w:rPr>
      </w:pPr>
      <w:r>
        <w:rPr>
          <w:rFonts w:ascii="Times New Roman" w:hAnsi="Times New Roman" w:cs="Times New Roman"/>
        </w:rPr>
        <w:t xml:space="preserve">Le </w:t>
      </w:r>
      <w:r w:rsidR="0028280C" w:rsidRPr="00367042">
        <w:rPr>
          <w:rFonts w:ascii="Times New Roman" w:hAnsi="Times New Roman" w:cs="Times New Roman"/>
        </w:rPr>
        <w:t>manque d’infrastructures de transport adéquat et l’état de dégradation avancée des infrastructures routières existantes ;</w:t>
      </w:r>
    </w:p>
    <w:p w14:paraId="03D0E880" w14:textId="303F4B82" w:rsidR="0028280C" w:rsidRPr="00367042" w:rsidRDefault="00A02BB4" w:rsidP="0028280C">
      <w:pPr>
        <w:pStyle w:val="Paragraphedeliste"/>
        <w:numPr>
          <w:ilvl w:val="0"/>
          <w:numId w:val="22"/>
        </w:numPr>
        <w:jc w:val="both"/>
        <w:rPr>
          <w:rFonts w:ascii="Times New Roman" w:hAnsi="Times New Roman" w:cs="Times New Roman"/>
        </w:rPr>
      </w:pPr>
      <w:r>
        <w:rPr>
          <w:rFonts w:ascii="Times New Roman" w:hAnsi="Times New Roman" w:cs="Times New Roman"/>
        </w:rPr>
        <w:t>Le</w:t>
      </w:r>
      <w:r w:rsidR="0028280C" w:rsidRPr="00367042">
        <w:rPr>
          <w:rFonts w:ascii="Times New Roman" w:hAnsi="Times New Roman" w:cs="Times New Roman"/>
        </w:rPr>
        <w:t xml:space="preserve"> faible aménagement des équipements marchands surtout des marchés frontaliers pourtant dynamiques dans les échang</w:t>
      </w:r>
      <w:r>
        <w:rPr>
          <w:rFonts w:ascii="Times New Roman" w:hAnsi="Times New Roman" w:cs="Times New Roman"/>
        </w:rPr>
        <w:t>es commerciaux transfrontaliers ;</w:t>
      </w:r>
      <w:r w:rsidR="0028280C" w:rsidRPr="00367042">
        <w:rPr>
          <w:rFonts w:ascii="Times New Roman" w:hAnsi="Times New Roman" w:cs="Times New Roman"/>
        </w:rPr>
        <w:t xml:space="preserve"> </w:t>
      </w:r>
    </w:p>
    <w:p w14:paraId="00742FF9" w14:textId="7C743172" w:rsidR="0028280C" w:rsidRDefault="00A02BB4" w:rsidP="0028280C">
      <w:pPr>
        <w:pStyle w:val="Paragraphedeliste"/>
        <w:numPr>
          <w:ilvl w:val="0"/>
          <w:numId w:val="22"/>
        </w:numPr>
        <w:jc w:val="both"/>
        <w:rPr>
          <w:rFonts w:ascii="Times New Roman" w:hAnsi="Times New Roman" w:cs="Times New Roman"/>
        </w:rPr>
      </w:pPr>
      <w:r>
        <w:rPr>
          <w:rFonts w:ascii="Times New Roman" w:hAnsi="Times New Roman" w:cs="Times New Roman"/>
        </w:rPr>
        <w:t>L’</w:t>
      </w:r>
      <w:r w:rsidR="0028280C" w:rsidRPr="00367042">
        <w:rPr>
          <w:rFonts w:ascii="Times New Roman" w:hAnsi="Times New Roman" w:cs="Times New Roman"/>
        </w:rPr>
        <w:t>insuffisance de sources d’énergie et d’infrastructures de communication (radio, télévision, réseau téléphonique) dans les zones frontalières</w:t>
      </w:r>
      <w:r>
        <w:rPr>
          <w:rFonts w:ascii="Times New Roman" w:hAnsi="Times New Roman" w:cs="Times New Roman"/>
        </w:rPr>
        <w:t>.</w:t>
      </w:r>
    </w:p>
    <w:p w14:paraId="3B0CFDDF" w14:textId="77777777" w:rsidR="00A02BB4" w:rsidRPr="00367042" w:rsidRDefault="00A02BB4" w:rsidP="00A02BB4">
      <w:pPr>
        <w:pStyle w:val="Paragraphedeliste"/>
        <w:jc w:val="both"/>
        <w:rPr>
          <w:rFonts w:ascii="Times New Roman" w:hAnsi="Times New Roman" w:cs="Times New Roman"/>
        </w:rPr>
      </w:pPr>
    </w:p>
    <w:p w14:paraId="04612326" w14:textId="77777777" w:rsidR="0028280C" w:rsidRPr="007B1CD4" w:rsidRDefault="0028280C" w:rsidP="0028280C">
      <w:pPr>
        <w:pBdr>
          <w:top w:val="single" w:sz="4" w:space="1" w:color="auto"/>
          <w:left w:val="single" w:sz="4" w:space="4" w:color="auto"/>
          <w:bottom w:val="single" w:sz="4" w:space="1" w:color="auto"/>
          <w:right w:val="single" w:sz="4" w:space="4" w:color="auto"/>
        </w:pBdr>
        <w:shd w:val="clear" w:color="auto" w:fill="92D050"/>
        <w:jc w:val="both"/>
        <w:rPr>
          <w:rFonts w:ascii="Times New Roman" w:hAnsi="Times New Roman" w:cs="Times New Roman"/>
          <w:i/>
          <w:sz w:val="24"/>
          <w:szCs w:val="24"/>
        </w:rPr>
      </w:pPr>
      <w:r w:rsidRPr="007B1CD4">
        <w:rPr>
          <w:rFonts w:ascii="Times New Roman" w:hAnsi="Times New Roman" w:cs="Times New Roman"/>
        </w:rPr>
        <w:lastRenderedPageBreak/>
        <w:t xml:space="preserve">L’analyse causale conduite par l’équipe des Nations Unies a corroboré ces constats. Elle a pointé le problème central suivant : </w:t>
      </w:r>
      <w:r w:rsidRPr="007B1CD4">
        <w:rPr>
          <w:rFonts w:ascii="Times New Roman" w:hAnsi="Times New Roman" w:cs="Times New Roman"/>
          <w:b/>
          <w:i/>
          <w:sz w:val="24"/>
          <w:szCs w:val="24"/>
        </w:rPr>
        <w:t>Le faible accès des populations à des services publiques de qualité.</w:t>
      </w:r>
      <w:r>
        <w:rPr>
          <w:rFonts w:ascii="Times New Roman" w:hAnsi="Times New Roman" w:cs="Times New Roman"/>
          <w:sz w:val="24"/>
          <w:szCs w:val="24"/>
        </w:rPr>
        <w:t xml:space="preserve"> </w:t>
      </w:r>
      <w:r w:rsidRPr="007B1CD4">
        <w:rPr>
          <w:rFonts w:ascii="Times New Roman" w:hAnsi="Times New Roman" w:cs="Times New Roman"/>
        </w:rPr>
        <w:t xml:space="preserve">Le principales causes de ce problème sont : </w:t>
      </w:r>
      <w:r w:rsidRPr="007B1CD4">
        <w:rPr>
          <w:rFonts w:ascii="Times New Roman" w:hAnsi="Times New Roman" w:cs="Times New Roman"/>
          <w:i/>
        </w:rPr>
        <w:t>La m</w:t>
      </w:r>
      <w:r w:rsidRPr="007B1CD4">
        <w:rPr>
          <w:rFonts w:ascii="Times New Roman" w:hAnsi="Times New Roman" w:cs="Times New Roman"/>
          <w:bCs/>
          <w:i/>
        </w:rPr>
        <w:t xml:space="preserve">auvaise gestion prévisionnelle des emplois et compétences ; </w:t>
      </w:r>
      <w:r w:rsidRPr="007B1CD4">
        <w:rPr>
          <w:rFonts w:ascii="Times New Roman" w:hAnsi="Times New Roman" w:cs="Times New Roman"/>
          <w:i/>
        </w:rPr>
        <w:t>Le m</w:t>
      </w:r>
      <w:r w:rsidRPr="007B1CD4">
        <w:rPr>
          <w:rFonts w:ascii="Times New Roman" w:hAnsi="Times New Roman" w:cs="Times New Roman"/>
          <w:bCs/>
          <w:i/>
        </w:rPr>
        <w:t xml:space="preserve">anque d'infrastructures, d'équipement  et de personnel qualifié ; </w:t>
      </w:r>
      <w:r w:rsidRPr="007B1CD4">
        <w:rPr>
          <w:rFonts w:ascii="Times New Roman" w:hAnsi="Times New Roman" w:cs="Times New Roman"/>
          <w:i/>
        </w:rPr>
        <w:t>L’i</w:t>
      </w:r>
      <w:r w:rsidRPr="007B1CD4">
        <w:rPr>
          <w:rFonts w:ascii="Times New Roman" w:hAnsi="Times New Roman" w:cs="Times New Roman"/>
          <w:bCs/>
          <w:i/>
        </w:rPr>
        <w:t>nsuffisance  des services administratifs de proximité</w:t>
      </w:r>
      <w:r w:rsidRPr="007B1CD4">
        <w:rPr>
          <w:rFonts w:ascii="Times New Roman" w:hAnsi="Times New Roman" w:cs="Times New Roman"/>
          <w:i/>
        </w:rPr>
        <w:t> ; La f</w:t>
      </w:r>
      <w:r w:rsidRPr="007B1CD4">
        <w:rPr>
          <w:rFonts w:ascii="Times New Roman" w:hAnsi="Times New Roman" w:cs="Times New Roman"/>
          <w:bCs/>
          <w:i/>
        </w:rPr>
        <w:t>aible capacité de mobilisation des ressources financières</w:t>
      </w:r>
      <w:r w:rsidRPr="007B1CD4">
        <w:rPr>
          <w:rFonts w:ascii="Times New Roman" w:hAnsi="Times New Roman" w:cs="Times New Roman"/>
          <w:i/>
        </w:rPr>
        <w:t> ; L’i</w:t>
      </w:r>
      <w:r w:rsidRPr="007B1CD4">
        <w:rPr>
          <w:rFonts w:ascii="Times New Roman" w:hAnsi="Times New Roman" w:cs="Times New Roman"/>
          <w:bCs/>
          <w:i/>
        </w:rPr>
        <w:t>nadéquation entre les missions dévolues à l’administration territoriale et le profil du personnel qui y exerce ;</w:t>
      </w:r>
      <w:r w:rsidRPr="007B1CD4">
        <w:rPr>
          <w:rFonts w:ascii="Times New Roman" w:hAnsi="Times New Roman" w:cs="Times New Roman"/>
          <w:i/>
        </w:rPr>
        <w:t xml:space="preserve"> L’i</w:t>
      </w:r>
      <w:r w:rsidRPr="007B1CD4">
        <w:rPr>
          <w:rFonts w:ascii="Times New Roman" w:hAnsi="Times New Roman" w:cs="Times New Roman"/>
          <w:bCs/>
          <w:i/>
        </w:rPr>
        <w:t>ncohérence entre l'allocation effective des ressources financières et la dévolution de responsabilités aux collectivités locales</w:t>
      </w:r>
      <w:r w:rsidRPr="007B1CD4">
        <w:rPr>
          <w:rFonts w:ascii="Times New Roman" w:hAnsi="Times New Roman" w:cs="Times New Roman"/>
          <w:i/>
        </w:rPr>
        <w:t> ; Le f</w:t>
      </w:r>
      <w:r w:rsidRPr="007B1CD4">
        <w:rPr>
          <w:rFonts w:ascii="Times New Roman" w:hAnsi="Times New Roman" w:cs="Times New Roman"/>
          <w:bCs/>
          <w:i/>
        </w:rPr>
        <w:t>aible niveau d’opérationnalisation des textes de la fonction publique territoriale ;</w:t>
      </w:r>
      <w:r w:rsidRPr="007B1CD4">
        <w:rPr>
          <w:rFonts w:ascii="Times New Roman" w:hAnsi="Times New Roman" w:cs="Times New Roman"/>
          <w:i/>
        </w:rPr>
        <w:t xml:space="preserve"> Le f</w:t>
      </w:r>
      <w:r w:rsidRPr="007B1CD4">
        <w:rPr>
          <w:rFonts w:ascii="Times New Roman" w:hAnsi="Times New Roman" w:cs="Times New Roman"/>
          <w:bCs/>
          <w:i/>
        </w:rPr>
        <w:t>aible niveau d’appropriation des textes sur la décentralisation par les élus locaux et les autres acteurs du processus de mise en œuvre de la décentralisation ;</w:t>
      </w:r>
      <w:r w:rsidRPr="007B1CD4">
        <w:rPr>
          <w:rFonts w:ascii="Times New Roman" w:hAnsi="Times New Roman" w:cs="Times New Roman"/>
          <w:i/>
        </w:rPr>
        <w:t xml:space="preserve"> Le f</w:t>
      </w:r>
      <w:r w:rsidRPr="007B1CD4">
        <w:rPr>
          <w:rFonts w:ascii="Times New Roman" w:hAnsi="Times New Roman" w:cs="Times New Roman"/>
          <w:bCs/>
          <w:i/>
        </w:rPr>
        <w:t xml:space="preserve">aible niveau d'effectivité du transfert des compétences et de ressources par l’Etat aux collectivités territoriales ; </w:t>
      </w:r>
      <w:r w:rsidRPr="007B1CD4">
        <w:rPr>
          <w:rFonts w:ascii="Times New Roman" w:hAnsi="Times New Roman" w:cs="Times New Roman"/>
          <w:i/>
        </w:rPr>
        <w:t>L’i</w:t>
      </w:r>
      <w:r w:rsidRPr="007B1CD4">
        <w:rPr>
          <w:rFonts w:ascii="Times New Roman" w:hAnsi="Times New Roman" w:cs="Times New Roman"/>
          <w:bCs/>
          <w:i/>
        </w:rPr>
        <w:t xml:space="preserve">nsuffisance dans la maîtrise d’ouvrage du développement local par les collectivités territoriales. </w:t>
      </w:r>
    </w:p>
    <w:p w14:paraId="1D8E2B6B" w14:textId="77777777" w:rsidR="0028280C" w:rsidRDefault="0028280C" w:rsidP="0028280C">
      <w:pPr>
        <w:jc w:val="both"/>
        <w:rPr>
          <w:rFonts w:ascii="Times New Roman" w:hAnsi="Times New Roman" w:cs="Times New Roman"/>
        </w:rPr>
      </w:pPr>
      <w:r>
        <w:rPr>
          <w:rFonts w:ascii="Times New Roman" w:hAnsi="Times New Roman" w:cs="Times New Roman"/>
        </w:rPr>
        <w:t xml:space="preserve"> </w:t>
      </w:r>
    </w:p>
    <w:p w14:paraId="7C3438E7" w14:textId="77777777" w:rsidR="004D0867" w:rsidRDefault="004D0867" w:rsidP="0028280C">
      <w:pPr>
        <w:jc w:val="both"/>
        <w:rPr>
          <w:rFonts w:ascii="Times New Roman" w:hAnsi="Times New Roman" w:cs="Times New Roman"/>
        </w:rPr>
      </w:pPr>
    </w:p>
    <w:p w14:paraId="4D34366C" w14:textId="77777777" w:rsidR="004D0867" w:rsidRPr="007B1CD4" w:rsidRDefault="004D0867" w:rsidP="0028280C">
      <w:pPr>
        <w:jc w:val="both"/>
        <w:rPr>
          <w:rFonts w:ascii="Times New Roman" w:hAnsi="Times New Roman" w:cs="Times New Roman"/>
        </w:rPr>
      </w:pPr>
    </w:p>
    <w:p w14:paraId="72247933" w14:textId="77777777" w:rsidR="0028280C" w:rsidRPr="00E25B1F" w:rsidRDefault="0028280C" w:rsidP="00E25B1F">
      <w:pPr>
        <w:pStyle w:val="Titre3"/>
        <w:rPr>
          <w:rFonts w:ascii="Bernard MT Condensed" w:hAnsi="Bernard MT Condensed"/>
        </w:rPr>
      </w:pPr>
      <w:bookmarkStart w:id="105" w:name="_Toc86687720"/>
      <w:bookmarkStart w:id="106" w:name="_Toc89479402"/>
      <w:bookmarkStart w:id="107" w:name="_Toc89480900"/>
      <w:bookmarkStart w:id="108" w:name="_Toc94480142"/>
      <w:bookmarkStart w:id="109" w:name="_Toc94481803"/>
      <w:bookmarkStart w:id="110" w:name="_Toc94482066"/>
      <w:r w:rsidRPr="00E25B1F">
        <w:rPr>
          <w:rFonts w:ascii="Bernard MT Condensed" w:hAnsi="Bernard MT Condensed"/>
        </w:rPr>
        <w:t>I.3.6 - Etat des lieux de la gouvernance économique</w:t>
      </w:r>
      <w:bookmarkEnd w:id="98"/>
      <w:bookmarkEnd w:id="105"/>
      <w:bookmarkEnd w:id="106"/>
      <w:bookmarkEnd w:id="107"/>
      <w:bookmarkEnd w:id="108"/>
      <w:bookmarkEnd w:id="109"/>
      <w:bookmarkEnd w:id="110"/>
    </w:p>
    <w:p w14:paraId="7C4A8575" w14:textId="77777777" w:rsidR="0028280C" w:rsidRPr="00156DCA" w:rsidRDefault="0028280C" w:rsidP="0028280C"/>
    <w:p w14:paraId="2EB6EB6A" w14:textId="77777777" w:rsidR="00A9420C" w:rsidRPr="00E25B1F" w:rsidRDefault="0028280C" w:rsidP="00E25B1F">
      <w:pPr>
        <w:pStyle w:val="Titre4"/>
        <w:rPr>
          <w:rFonts w:ascii="Bernard MT Condensed" w:hAnsi="Bernard MT Condensed"/>
          <w:sz w:val="24"/>
          <w:szCs w:val="24"/>
        </w:rPr>
      </w:pPr>
      <w:bookmarkStart w:id="111" w:name="_Toc84789670"/>
      <w:r w:rsidRPr="00E25B1F">
        <w:rPr>
          <w:rFonts w:ascii="Bernard MT Condensed" w:hAnsi="Bernard MT Condensed"/>
          <w:sz w:val="24"/>
          <w:szCs w:val="24"/>
        </w:rPr>
        <w:t>I.3.6.1 - Structure de l’économie et performances macroéconomiques</w:t>
      </w:r>
      <w:bookmarkEnd w:id="111"/>
      <w:r w:rsidR="00A9420C" w:rsidRPr="00E25B1F">
        <w:rPr>
          <w:rFonts w:ascii="Bernard MT Condensed" w:hAnsi="Bernard MT Condensed"/>
          <w:sz w:val="24"/>
          <w:szCs w:val="24"/>
        </w:rPr>
        <w:t xml:space="preserve"> </w:t>
      </w:r>
    </w:p>
    <w:p w14:paraId="5408BC27" w14:textId="2EA03720" w:rsidR="0028280C" w:rsidRPr="00A9420C" w:rsidRDefault="00F87E56" w:rsidP="00A9420C">
      <w:pPr>
        <w:pStyle w:val="Titre4"/>
        <w:jc w:val="both"/>
        <w:rPr>
          <w:rFonts w:ascii="Times New Roman" w:eastAsia="Times New Roman" w:hAnsi="Times New Roman" w:cs="Times New Roman"/>
          <w:i w:val="0"/>
          <w:iCs w:val="0"/>
          <w:color w:val="000000"/>
          <w:spacing w:val="-2"/>
          <w:szCs w:val="20"/>
          <w:lang w:eastAsia="fr-FR"/>
        </w:rPr>
      </w:pPr>
      <w:r>
        <w:rPr>
          <w:rFonts w:ascii="Times New Roman" w:eastAsia="Times New Roman" w:hAnsi="Times New Roman" w:cs="Times New Roman"/>
          <w:i w:val="0"/>
          <w:iCs w:val="0"/>
          <w:color w:val="000000"/>
          <w:spacing w:val="-2"/>
          <w:szCs w:val="20"/>
          <w:lang w:eastAsia="fr-FR"/>
        </w:rPr>
        <w:t>L</w:t>
      </w:r>
      <w:r w:rsidR="0028280C" w:rsidRPr="00A9420C">
        <w:rPr>
          <w:rFonts w:ascii="Times New Roman" w:eastAsia="Times New Roman" w:hAnsi="Times New Roman" w:cs="Times New Roman"/>
          <w:i w:val="0"/>
          <w:iCs w:val="0"/>
          <w:color w:val="000000"/>
          <w:spacing w:val="-2"/>
          <w:szCs w:val="20"/>
          <w:lang w:eastAsia="fr-FR"/>
        </w:rPr>
        <w:t>’agriculture demeure l’épine dorsale de l’économie Nigérienne</w:t>
      </w:r>
      <w:r w:rsidRPr="00F87E56">
        <w:rPr>
          <w:rFonts w:ascii="Times New Roman" w:eastAsia="Times New Roman" w:hAnsi="Times New Roman" w:cs="Times New Roman"/>
          <w:i w:val="0"/>
          <w:iCs w:val="0"/>
          <w:color w:val="000000"/>
          <w:spacing w:val="-2"/>
          <w:szCs w:val="20"/>
          <w:lang w:eastAsia="fr-FR"/>
        </w:rPr>
        <w:t xml:space="preserve"> </w:t>
      </w:r>
      <w:r>
        <w:rPr>
          <w:rFonts w:ascii="Times New Roman" w:eastAsia="Times New Roman" w:hAnsi="Times New Roman" w:cs="Times New Roman"/>
          <w:i w:val="0"/>
          <w:iCs w:val="0"/>
          <w:color w:val="000000"/>
          <w:spacing w:val="-2"/>
          <w:szCs w:val="20"/>
          <w:lang w:eastAsia="fr-FR"/>
        </w:rPr>
        <w:t>a</w:t>
      </w:r>
      <w:r w:rsidRPr="00A9420C">
        <w:rPr>
          <w:rFonts w:ascii="Times New Roman" w:eastAsia="Times New Roman" w:hAnsi="Times New Roman" w:cs="Times New Roman"/>
          <w:i w:val="0"/>
          <w:iCs w:val="0"/>
          <w:color w:val="000000"/>
          <w:spacing w:val="-2"/>
          <w:szCs w:val="20"/>
          <w:lang w:eastAsia="fr-FR"/>
        </w:rPr>
        <w:t>vec une part de 35% dans le PIB sur la période 2010-2020</w:t>
      </w:r>
      <w:r w:rsidR="0028280C" w:rsidRPr="00A9420C">
        <w:rPr>
          <w:rFonts w:ascii="Times New Roman" w:eastAsia="Times New Roman" w:hAnsi="Times New Roman" w:cs="Times New Roman"/>
          <w:i w:val="0"/>
          <w:iCs w:val="0"/>
          <w:color w:val="000000"/>
          <w:spacing w:val="-2"/>
          <w:szCs w:val="20"/>
          <w:lang w:eastAsia="fr-FR"/>
        </w:rPr>
        <w:t>. Les secteurs industriels et des services représentent respectivement 15,5% et 38,1%</w:t>
      </w:r>
      <w:r w:rsidR="00A9420C">
        <w:rPr>
          <w:rFonts w:ascii="Times New Roman" w:eastAsia="Times New Roman" w:hAnsi="Times New Roman" w:cs="Times New Roman"/>
          <w:i w:val="0"/>
          <w:iCs w:val="0"/>
          <w:color w:val="000000"/>
          <w:spacing w:val="-2"/>
          <w:szCs w:val="20"/>
          <w:lang w:eastAsia="fr-FR"/>
        </w:rPr>
        <w:t xml:space="preserve"> </w:t>
      </w:r>
      <w:r w:rsidR="0028280C" w:rsidRPr="00A9420C">
        <w:rPr>
          <w:rFonts w:ascii="Times New Roman" w:eastAsia="Times New Roman" w:hAnsi="Times New Roman" w:cs="Times New Roman"/>
          <w:i w:val="0"/>
          <w:iCs w:val="0"/>
          <w:color w:val="000000"/>
          <w:spacing w:val="-2"/>
          <w:szCs w:val="20"/>
          <w:lang w:eastAsia="fr-FR"/>
        </w:rPr>
        <w:t xml:space="preserve">du PIB. Le faible niveau d’ouverture commercial de l’économie du Niger et sa forte dépendance </w:t>
      </w:r>
      <w:r w:rsidR="00A9420C">
        <w:rPr>
          <w:rFonts w:ascii="Times New Roman" w:eastAsia="Times New Roman" w:hAnsi="Times New Roman" w:cs="Times New Roman"/>
          <w:i w:val="0"/>
          <w:iCs w:val="0"/>
          <w:color w:val="000000"/>
          <w:spacing w:val="-2"/>
          <w:szCs w:val="20"/>
          <w:lang w:eastAsia="fr-FR"/>
        </w:rPr>
        <w:t>au</w:t>
      </w:r>
      <w:r w:rsidR="0028280C" w:rsidRPr="00A9420C">
        <w:rPr>
          <w:rFonts w:ascii="Times New Roman" w:eastAsia="Times New Roman" w:hAnsi="Times New Roman" w:cs="Times New Roman"/>
          <w:i w:val="0"/>
          <w:iCs w:val="0"/>
          <w:color w:val="000000"/>
          <w:spacing w:val="-2"/>
          <w:szCs w:val="20"/>
          <w:lang w:eastAsia="fr-FR"/>
        </w:rPr>
        <w:t xml:space="preserve"> secteur primaire seraient dus à la faible priorité réservée aux investissements concernant les crédits libérés ainsi qu’à son faible niveau de diversification.</w:t>
      </w:r>
    </w:p>
    <w:p w14:paraId="6E27141C" w14:textId="6CD4DE84" w:rsidR="0028280C" w:rsidRDefault="0028280C" w:rsidP="0028280C">
      <w:pPr>
        <w:pStyle w:val="Corpsdetexte"/>
        <w:rPr>
          <w:color w:val="auto"/>
        </w:rPr>
      </w:pPr>
      <w:r>
        <w:t xml:space="preserve">L’agriculture occupe une place prépondérante dans le secteur primaire. </w:t>
      </w:r>
      <w:r w:rsidRPr="009F6A1F">
        <w:rPr>
          <w:color w:val="auto"/>
        </w:rPr>
        <w:t xml:space="preserve">La production de cultures vivrières est dominée par les céréales comme le mil et le sorgho. L’oignon et le niébé sont les principales cultures commerciales. Le Niger est le deuxième producteur </w:t>
      </w:r>
      <w:r>
        <w:rPr>
          <w:color w:val="auto"/>
        </w:rPr>
        <w:t>de niébé en Afrique de l’Ouest après le Nigéria</w:t>
      </w:r>
      <w:r w:rsidRPr="009F6A1F">
        <w:rPr>
          <w:color w:val="auto"/>
        </w:rPr>
        <w:t>. Les autres cultures commerciales sont l’arachide, le sésame et le souchet comestible. En 2017, les oléagineux représentaient 88 % des exportations agricoles du Niger tandis que le riz constituait la principale importation agricole (5,8 % des importations totales). Le secteur agricole emploie plus de 80 % de la population, qui en dépend pour vivre et assurer sa sécurité alimentaire</w:t>
      </w:r>
      <w:r w:rsidRPr="009F6A1F">
        <w:rPr>
          <w:rStyle w:val="Appelnotedebasdep"/>
          <w:rFonts w:ascii="Arial" w:hAnsi="Arial" w:cs="Arial"/>
          <w:color w:val="auto"/>
          <w:szCs w:val="24"/>
        </w:rPr>
        <w:footnoteReference w:id="14"/>
      </w:r>
      <w:r w:rsidRPr="009F6A1F">
        <w:rPr>
          <w:color w:val="auto"/>
        </w:rPr>
        <w:t xml:space="preserve">. La proportion des femmes dans le secteur agricole est passée de 40% en 2006 à 11% en 2011. Malgré cette baisse de la féminisation du secteur agricole, la femme reste un acteur-clé pour </w:t>
      </w:r>
      <w:r>
        <w:rPr>
          <w:color w:val="auto"/>
        </w:rPr>
        <w:t>l’amélioration de</w:t>
      </w:r>
      <w:r w:rsidRPr="009F6A1F">
        <w:rPr>
          <w:color w:val="auto"/>
        </w:rPr>
        <w:t xml:space="preserve"> la sécurité alimentaire, tant </w:t>
      </w:r>
      <w:r>
        <w:rPr>
          <w:color w:val="auto"/>
        </w:rPr>
        <w:t>pour les exploitations familiales et l</w:t>
      </w:r>
      <w:r w:rsidR="00A9420C">
        <w:rPr>
          <w:color w:val="auto"/>
        </w:rPr>
        <w:t>es chaî</w:t>
      </w:r>
      <w:r w:rsidRPr="009F6A1F">
        <w:rPr>
          <w:color w:val="auto"/>
        </w:rPr>
        <w:t>nes de valeur que pour la gestion des stocks et la préparation des repas.</w:t>
      </w:r>
    </w:p>
    <w:p w14:paraId="00DFFE17" w14:textId="77777777" w:rsidR="00803D66" w:rsidRPr="009F6A1F" w:rsidRDefault="00803D66" w:rsidP="0028280C">
      <w:pPr>
        <w:pStyle w:val="Corpsdetexte"/>
        <w:rPr>
          <w:color w:val="auto"/>
        </w:rPr>
      </w:pPr>
    </w:p>
    <w:p w14:paraId="6C3B5E3F" w14:textId="191F508C" w:rsidR="0028280C" w:rsidRDefault="0028280C" w:rsidP="0028280C">
      <w:pPr>
        <w:pStyle w:val="Corpsdetexte"/>
        <w:rPr>
          <w:b/>
          <w:color w:val="auto"/>
        </w:rPr>
      </w:pPr>
      <w:r w:rsidRPr="009F6A1F">
        <w:rPr>
          <w:color w:val="auto"/>
        </w:rPr>
        <w:t>En</w:t>
      </w:r>
      <w:r>
        <w:rPr>
          <w:color w:val="auto"/>
        </w:rPr>
        <w:t xml:space="preserve"> ce qui concerne </w:t>
      </w:r>
      <w:r w:rsidRPr="009F6A1F">
        <w:rPr>
          <w:color w:val="auto"/>
        </w:rPr>
        <w:t>la production animale, en 2020, le cheptel national a été estimé à plus de 45 millions de têtes, toutes espèces confondues soit un peu plus de 13 millions d’UBT, pour une valeur totale de plus de 3 000 milliards de FCFA. Les terres de pâturage représentent 62 millions d’hectares (soit 45 % du territoire). Les éleveurs rencontrent d’énormes difficultés dans les déplacements des troupeaux et la transhumance qui constituent une stratégie vitale pour compenser les insuffisances en eau et en pâturages. La demande en eau globale maximale serait d’environ 328 millions de m</w:t>
      </w:r>
      <w:r w:rsidRPr="009F6A1F">
        <w:rPr>
          <w:color w:val="auto"/>
          <w:vertAlign w:val="superscript"/>
        </w:rPr>
        <w:t>3</w:t>
      </w:r>
      <w:r w:rsidRPr="009F6A1F">
        <w:rPr>
          <w:color w:val="auto"/>
        </w:rPr>
        <w:t xml:space="preserve"> en 2020 et de 375 millions de m</w:t>
      </w:r>
      <w:r w:rsidRPr="009F6A1F">
        <w:rPr>
          <w:color w:val="auto"/>
          <w:vertAlign w:val="superscript"/>
        </w:rPr>
        <w:t>3</w:t>
      </w:r>
      <w:r w:rsidRPr="009F6A1F">
        <w:rPr>
          <w:color w:val="auto"/>
        </w:rPr>
        <w:t xml:space="preserve"> en 2025 selon les projections. Il existe une multitude de conflits liés à l’accès aux ressources fourragères et à l’eau d’abreuvement dus à l’insuffisance des points d’eau profonds (forage) et au faible débit de ceux qui sont peu profonds (puits), le non-respect des tours entre usagers, la « privatisation » ou colonisation des points d’eau publics, l’utilisation mixte des points d’eau villageois, etc</w:t>
      </w:r>
      <w:r w:rsidRPr="009F6A1F">
        <w:rPr>
          <w:b/>
          <w:color w:val="auto"/>
        </w:rPr>
        <w:t>.</w:t>
      </w:r>
    </w:p>
    <w:p w14:paraId="3C9B7C44" w14:textId="41BF90C4" w:rsidR="0028280C" w:rsidRPr="009F6A1F" w:rsidRDefault="0028280C" w:rsidP="0028280C">
      <w:pPr>
        <w:pStyle w:val="Corpsdetexte"/>
        <w:rPr>
          <w:color w:val="auto"/>
        </w:rPr>
      </w:pPr>
      <w:r w:rsidRPr="009F6A1F">
        <w:rPr>
          <w:color w:val="auto"/>
        </w:rPr>
        <w:lastRenderedPageBreak/>
        <w:t xml:space="preserve">La pêche et l’aquaculture contribuent à la sécurité alimentaire </w:t>
      </w:r>
      <w:r w:rsidR="00A9420C">
        <w:rPr>
          <w:color w:val="auto"/>
        </w:rPr>
        <w:t>notamment</w:t>
      </w:r>
      <w:r w:rsidRPr="009F6A1F">
        <w:rPr>
          <w:color w:val="auto"/>
        </w:rPr>
        <w:t xml:space="preserve"> </w:t>
      </w:r>
      <w:r w:rsidR="00A9420C">
        <w:rPr>
          <w:color w:val="auto"/>
        </w:rPr>
        <w:t xml:space="preserve">à </w:t>
      </w:r>
      <w:r w:rsidRPr="009F6A1F">
        <w:rPr>
          <w:color w:val="auto"/>
        </w:rPr>
        <w:t>l’amélioration de l’état nutritionnel en fournissant les protéines d’origine animale et les autres éléments nutritifs</w:t>
      </w:r>
      <w:r w:rsidR="00A9420C">
        <w:rPr>
          <w:color w:val="auto"/>
        </w:rPr>
        <w:t>,</w:t>
      </w:r>
      <w:r w:rsidRPr="009F6A1F">
        <w:rPr>
          <w:color w:val="auto"/>
        </w:rPr>
        <w:t xml:space="preserve"> et procurent des revenus appréciables aux communautés de base et à l’État. Selon les résultats de l’enquête réalisée en 2012 par l’UEMOA, la pêche et l’aquaculture touchent directement ou indirectement plus de </w:t>
      </w:r>
      <w:r w:rsidRPr="00C11F40">
        <w:rPr>
          <w:color w:val="auto"/>
        </w:rPr>
        <w:t>50000 personnes</w:t>
      </w:r>
      <w:r w:rsidRPr="009F6A1F">
        <w:rPr>
          <w:color w:val="auto"/>
        </w:rPr>
        <w:t xml:space="preserve"> dotées d’un savoir-faire traditionnel et semi-moderne, soit environ 9111 ménages. La pêche et l’aquaculture génèrent plus de 40 milliards de Francs CFA de chiffre d’affaires par an. </w:t>
      </w:r>
    </w:p>
    <w:p w14:paraId="33FB0D67" w14:textId="5341DB13" w:rsidR="0028280C" w:rsidRDefault="0028280C" w:rsidP="0028280C">
      <w:pPr>
        <w:pStyle w:val="Corpsdetexte"/>
        <w:rPr>
          <w:szCs w:val="22"/>
        </w:rPr>
      </w:pPr>
      <w:r w:rsidRPr="009F6A1F">
        <w:rPr>
          <w:color w:val="auto"/>
          <w:szCs w:val="22"/>
        </w:rPr>
        <w:t>En dépit</w:t>
      </w:r>
      <w:r>
        <w:rPr>
          <w:color w:val="auto"/>
          <w:szCs w:val="22"/>
        </w:rPr>
        <w:t xml:space="preserve"> des performances </w:t>
      </w:r>
      <w:r w:rsidRPr="009F6A1F">
        <w:rPr>
          <w:color w:val="auto"/>
          <w:szCs w:val="22"/>
        </w:rPr>
        <w:t>notables de l’agriculture et de l’élevage, selon la Banque mondiale</w:t>
      </w:r>
      <w:r w:rsidRPr="009F6A1F">
        <w:rPr>
          <w:rStyle w:val="Appelnotedebasdep"/>
          <w:color w:val="auto"/>
          <w:szCs w:val="22"/>
        </w:rPr>
        <w:footnoteReference w:id="15"/>
      </w:r>
      <w:r w:rsidRPr="009F6A1F">
        <w:rPr>
          <w:color w:val="auto"/>
          <w:szCs w:val="22"/>
        </w:rPr>
        <w:t>, le Niger reste isolé des chaînes de valeur mondiales. Son niveau d’ouverture commerciale (mesuré par la somme des exportations plus les importations en pourcentage du PIB) a été estimé à 26,7 % du PIB en 2019. Il convient aussi de signaler que l</w:t>
      </w:r>
      <w:r w:rsidRPr="009F6A1F">
        <w:rPr>
          <w:color w:val="auto"/>
        </w:rPr>
        <w:t>a population, principalement les enfants et les femmes, e</w:t>
      </w:r>
      <w:r>
        <w:rPr>
          <w:color w:val="auto"/>
        </w:rPr>
        <w:t>st confrontée à la malnutrition et</w:t>
      </w:r>
      <w:r w:rsidRPr="009F6A1F">
        <w:rPr>
          <w:color w:val="auto"/>
        </w:rPr>
        <w:t xml:space="preserve"> à l’insécurité alimentaire. Selon les ana</w:t>
      </w:r>
      <w:r>
        <w:rPr>
          <w:color w:val="auto"/>
        </w:rPr>
        <w:t>lyses du Cadre Harmonisé (2016 -</w:t>
      </w:r>
      <w:r w:rsidRPr="009F6A1F">
        <w:rPr>
          <w:color w:val="auto"/>
        </w:rPr>
        <w:t xml:space="preserve"> 2020), en période de soudure (juin-août), en moyenne 28,5% des nigériens ont été en situation d’insécurité alimentaire (phase 2 et au-delà), dont 6,5% en situation de crise (phase 3) ou d’urgence (phase 4). La prévalence de la Malnutrition Aigüe Globale (MAG) et de la malnutrition chronique ou retard de croissance, respectivement de 12,7% et 45,1%, sont au-dessus du seuil</w:t>
      </w:r>
      <w:r w:rsidR="00B34206">
        <w:rPr>
          <w:color w:val="auto"/>
        </w:rPr>
        <w:t xml:space="preserve"> critique</w:t>
      </w:r>
      <w:r w:rsidRPr="009F6A1F">
        <w:rPr>
          <w:color w:val="auto"/>
        </w:rPr>
        <w:t xml:space="preserve">. Les prévalences de MAG les plus élevées ont été enregistrées à Diffa (19,3%), Zinder (14,9%) et Agadez (14,8%). Quant à la prévalence de la malnutrition aigüe sévère, elle est de 2,6%, dépassant le seuil critique de 2% </w:t>
      </w:r>
      <w:r w:rsidR="00B34206">
        <w:rPr>
          <w:color w:val="auto"/>
        </w:rPr>
        <w:t xml:space="preserve">fixé par </w:t>
      </w:r>
      <w:r w:rsidRPr="009F6A1F">
        <w:rPr>
          <w:color w:val="auto"/>
        </w:rPr>
        <w:t xml:space="preserve"> l’OMS (OCHA,</w:t>
      </w:r>
      <w:r>
        <w:rPr>
          <w:color w:val="auto"/>
        </w:rPr>
        <w:t xml:space="preserve"> </w:t>
      </w:r>
      <w:r w:rsidRPr="009F6A1F">
        <w:rPr>
          <w:color w:val="auto"/>
        </w:rPr>
        <w:t>2020).</w:t>
      </w:r>
      <w:r>
        <w:rPr>
          <w:color w:val="auto"/>
        </w:rPr>
        <w:t xml:space="preserve"> </w:t>
      </w:r>
      <w:r w:rsidRPr="00DE1412">
        <w:rPr>
          <w:szCs w:val="22"/>
        </w:rPr>
        <w:t xml:space="preserve">A l’instar de la plupart des pays du monde, la pandémie de la Covid-19 a eu un fort impact </w:t>
      </w:r>
      <w:r w:rsidR="00B34206">
        <w:rPr>
          <w:szCs w:val="22"/>
        </w:rPr>
        <w:t xml:space="preserve">sur </w:t>
      </w:r>
      <w:r>
        <w:rPr>
          <w:szCs w:val="22"/>
        </w:rPr>
        <w:t>le secteur primaire.</w:t>
      </w:r>
    </w:p>
    <w:p w14:paraId="205E3AED" w14:textId="43FD4860" w:rsidR="00FE6095" w:rsidRDefault="0028280C" w:rsidP="00FE6095">
      <w:pPr>
        <w:pStyle w:val="Corpsdetexte"/>
        <w:rPr>
          <w:color w:val="auto"/>
        </w:rPr>
      </w:pPr>
      <w:r w:rsidRPr="00954F85">
        <w:rPr>
          <w:color w:val="auto"/>
        </w:rPr>
        <w:t xml:space="preserve">Le Plan de Développement Economique et Social du Niger (PDES) 2017-2021 souligne l'afflux de réfugiés comme un risque économique et sécuritaire et identifie le manque d'investissements sociaux et productifs dans les zones prioritaires comme une contrainte majeure. Le cadre juridique du Niger offre des possibilités de participation effective des réfugiés à la vie socio-économique du pays. Par exemple, l'article 9 de la loi sur les réfugiés </w:t>
      </w:r>
      <w:r w:rsidR="00B34206">
        <w:rPr>
          <w:color w:val="auto"/>
        </w:rPr>
        <w:t>garantit</w:t>
      </w:r>
      <w:r w:rsidRPr="00954F85">
        <w:rPr>
          <w:color w:val="auto"/>
        </w:rPr>
        <w:t xml:space="preserve"> aux réfugiés originaires des pays de la CEDEAO  les mêmes droits que les ressortissants nigériens en ce qui concerne l'accès au marché du travail (sauf dans le secteur public) et aux services financiers et de développement des affaires. Cependant, l'accès des réfugiés </w:t>
      </w:r>
      <w:r w:rsidR="00B34206">
        <w:rPr>
          <w:color w:val="auto"/>
        </w:rPr>
        <w:t xml:space="preserve"> </w:t>
      </w:r>
      <w:r w:rsidRPr="00954F85">
        <w:rPr>
          <w:color w:val="auto"/>
        </w:rPr>
        <w:t>à un travail décent</w:t>
      </w:r>
      <w:r w:rsidR="00B34206">
        <w:rPr>
          <w:color w:val="auto"/>
        </w:rPr>
        <w:t xml:space="preserve"> reste difficile. B</w:t>
      </w:r>
      <w:r w:rsidRPr="00954F85">
        <w:rPr>
          <w:color w:val="auto"/>
        </w:rPr>
        <w:t xml:space="preserve">eaucoup </w:t>
      </w:r>
      <w:r w:rsidR="00B34206">
        <w:rPr>
          <w:color w:val="auto"/>
        </w:rPr>
        <w:t xml:space="preserve">de réfugiés </w:t>
      </w:r>
      <w:r w:rsidRPr="00954F85">
        <w:rPr>
          <w:color w:val="auto"/>
        </w:rPr>
        <w:t xml:space="preserve">finissent par travailler dans le secteur informel, qui est largement non réglementé. Cette situation a été </w:t>
      </w:r>
      <w:r w:rsidR="00B34206">
        <w:rPr>
          <w:color w:val="auto"/>
        </w:rPr>
        <w:t xml:space="preserve">sans doute </w:t>
      </w:r>
      <w:r w:rsidRPr="00954F85">
        <w:rPr>
          <w:color w:val="auto"/>
        </w:rPr>
        <w:t>exacerbée par le COVID-19. Les demandeurs d'asile n'ont pas formellement le droit de travailler, mais dans la pratique, beaucoup trouvent un emploi dans le secteur informel. La proportion des réfugiés vivant en milieu urbain qui ont un emploi informel est estimé à 52%, tandis que dans les zones rurales, 76 % des réfugiés travaillent dans le secteur agricole et 18 % dans d'autres secteurs. Seuls 10 % des réfugiés en milieu urbain so</w:t>
      </w:r>
      <w:r w:rsidR="00B34206">
        <w:rPr>
          <w:color w:val="auto"/>
        </w:rPr>
        <w:t xml:space="preserve">nt employés dans le secteur </w:t>
      </w:r>
      <w:r w:rsidR="00FE6095">
        <w:rPr>
          <w:color w:val="auto"/>
        </w:rPr>
        <w:t>for</w:t>
      </w:r>
      <w:r w:rsidR="00FE6095" w:rsidRPr="00954F85">
        <w:rPr>
          <w:color w:val="auto"/>
        </w:rPr>
        <w:t>mel</w:t>
      </w:r>
      <w:r w:rsidRPr="00954F85">
        <w:rPr>
          <w:color w:val="auto"/>
        </w:rPr>
        <w:t xml:space="preserve"> (source : Etude IFORD 2015).</w:t>
      </w:r>
      <w:r w:rsidR="00FE6095">
        <w:rPr>
          <w:color w:val="auto"/>
        </w:rPr>
        <w:t xml:space="preserve"> </w:t>
      </w:r>
    </w:p>
    <w:p w14:paraId="67E8982E" w14:textId="77777777" w:rsidR="00FE6095" w:rsidRDefault="00FE6095" w:rsidP="00FE6095">
      <w:pPr>
        <w:pStyle w:val="Corpsdetexte"/>
        <w:rPr>
          <w:color w:val="auto"/>
        </w:rPr>
      </w:pPr>
    </w:p>
    <w:p w14:paraId="1F3C147A" w14:textId="77777777" w:rsidR="00FE6095" w:rsidRPr="00E25B1F" w:rsidRDefault="0028280C" w:rsidP="00E25B1F">
      <w:pPr>
        <w:pStyle w:val="Titre4"/>
        <w:rPr>
          <w:rFonts w:ascii="Bernard MT Condensed" w:hAnsi="Bernard MT Condensed"/>
          <w:sz w:val="24"/>
          <w:szCs w:val="24"/>
        </w:rPr>
      </w:pPr>
      <w:r w:rsidRPr="00E25B1F">
        <w:rPr>
          <w:rFonts w:ascii="Bernard MT Condensed" w:hAnsi="Bernard MT Condensed"/>
          <w:sz w:val="24"/>
          <w:szCs w:val="24"/>
        </w:rPr>
        <w:t xml:space="preserve">I.3.6.2 - Performances macroéconomiques </w:t>
      </w:r>
    </w:p>
    <w:p w14:paraId="09E40B95" w14:textId="0EE6B7AF" w:rsidR="0028280C" w:rsidRPr="00FE6095" w:rsidRDefault="0028280C" w:rsidP="00FE6095">
      <w:pPr>
        <w:pStyle w:val="Corpsdetexte"/>
        <w:rPr>
          <w:color w:val="auto"/>
        </w:rPr>
      </w:pPr>
      <w:r w:rsidRPr="00806AA5">
        <w:rPr>
          <w:color w:val="000000" w:themeColor="text1"/>
        </w:rPr>
        <w:t xml:space="preserve">L’Institut national de la statistique (INS) a estimé </w:t>
      </w:r>
      <w:r w:rsidRPr="00806AA5">
        <w:rPr>
          <w:b/>
          <w:color w:val="000000" w:themeColor="text1"/>
        </w:rPr>
        <w:t>le taux de croissance économique</w:t>
      </w:r>
      <w:r w:rsidRPr="00806AA5">
        <w:rPr>
          <w:color w:val="000000" w:themeColor="text1"/>
        </w:rPr>
        <w:t xml:space="preserve"> à 3,6%</w:t>
      </w:r>
      <w:r w:rsidRPr="00806AA5">
        <w:rPr>
          <w:rStyle w:val="Appelnotedebasdep"/>
          <w:color w:val="000000" w:themeColor="text1"/>
        </w:rPr>
        <w:footnoteReference w:id="16"/>
      </w:r>
      <w:r w:rsidRPr="00806AA5">
        <w:rPr>
          <w:color w:val="000000" w:themeColor="text1"/>
        </w:rPr>
        <w:t xml:space="preserve"> (mai 2021) contre 5,9% en 2019. La croissance a été tirée par le secteur primaire (7,7%) notamment par l’agriculture, l’élevage et la chasse avec respectivement 9,5% et 4,5%. Quant aux secteurs secondaire et tertiaire, </w:t>
      </w:r>
      <w:r w:rsidR="00FE6095">
        <w:rPr>
          <w:color w:val="000000" w:themeColor="text1"/>
        </w:rPr>
        <w:t xml:space="preserve">en </w:t>
      </w:r>
      <w:r w:rsidRPr="00806AA5">
        <w:rPr>
          <w:color w:val="000000" w:themeColor="text1"/>
        </w:rPr>
        <w:t xml:space="preserve">2020, ils ont contribué à hauteur de 1,7% et 2,3%, respectivement. La survenance de la Covid-19 et les mesures barrières consécutives prises par la Gouvernement ont malheureusement freiné la dynamique observée dans le secteur secondaire ces dernières années notamment dans le domaine de la construction qui n’a contribué à la croissance qu’à hauteur de 2,9% en 2020 contre 19,2% en 2019 en raison de la baisse des activités. Grâce à la réouverture de la frontière avec le Nigeria, aux projets d’investissements de grande envergure en cours et </w:t>
      </w:r>
      <w:r w:rsidR="00FE6095">
        <w:rPr>
          <w:color w:val="000000" w:themeColor="text1"/>
        </w:rPr>
        <w:t>au</w:t>
      </w:r>
      <w:r w:rsidRPr="00806AA5">
        <w:rPr>
          <w:color w:val="000000" w:themeColor="text1"/>
        </w:rPr>
        <w:t xml:space="preserve"> rétablisse</w:t>
      </w:r>
      <w:r w:rsidR="00FE6095">
        <w:rPr>
          <w:color w:val="000000" w:themeColor="text1"/>
        </w:rPr>
        <w:t>ment progressive des autres chaî</w:t>
      </w:r>
      <w:r w:rsidRPr="00806AA5">
        <w:rPr>
          <w:color w:val="000000" w:themeColor="text1"/>
        </w:rPr>
        <w:t xml:space="preserve">nes d’approvisionnement, l’économie Nigérienne connaitra un rebondissement en 2021. Selon les dernières prévisions de la Banque Mondiale, il est prévu un taux de croissance économique de 5,5%. </w:t>
      </w:r>
    </w:p>
    <w:p w14:paraId="0C9D002A" w14:textId="77777777" w:rsidR="0028280C" w:rsidRDefault="0028280C" w:rsidP="0028280C">
      <w:pPr>
        <w:pStyle w:val="NormalWeb"/>
        <w:jc w:val="center"/>
        <w:rPr>
          <w:sz w:val="22"/>
          <w:szCs w:val="22"/>
        </w:rPr>
      </w:pPr>
      <w:r w:rsidRPr="0080086C">
        <w:rPr>
          <w:noProof/>
        </w:rPr>
        <w:lastRenderedPageBreak/>
        <w:drawing>
          <wp:inline distT="0" distB="0" distL="0" distR="0" wp14:anchorId="2CF44C8A" wp14:editId="332917E9">
            <wp:extent cx="4368800" cy="1807845"/>
            <wp:effectExtent l="0" t="0" r="0" b="1905"/>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398054" cy="1819951"/>
                    </a:xfrm>
                    <a:prstGeom prst="rect">
                      <a:avLst/>
                    </a:prstGeom>
                    <a:noFill/>
                    <a:ln>
                      <a:noFill/>
                    </a:ln>
                  </pic:spPr>
                </pic:pic>
              </a:graphicData>
            </a:graphic>
          </wp:inline>
        </w:drawing>
      </w:r>
    </w:p>
    <w:p w14:paraId="7E1C109A" w14:textId="5305616B" w:rsidR="0028280C" w:rsidRDefault="0028280C" w:rsidP="0028280C">
      <w:pPr>
        <w:pStyle w:val="NormalWeb"/>
        <w:jc w:val="both"/>
        <w:rPr>
          <w:sz w:val="22"/>
          <w:szCs w:val="22"/>
        </w:rPr>
      </w:pPr>
      <w:r>
        <w:rPr>
          <w:sz w:val="22"/>
          <w:szCs w:val="22"/>
        </w:rPr>
        <w:t>L</w:t>
      </w:r>
      <w:r w:rsidRPr="00942660">
        <w:rPr>
          <w:sz w:val="22"/>
          <w:szCs w:val="22"/>
        </w:rPr>
        <w:t>e ralentissement de la croissance économique a été encore plus marqué</w:t>
      </w:r>
      <w:r>
        <w:rPr>
          <w:sz w:val="22"/>
          <w:szCs w:val="22"/>
        </w:rPr>
        <w:t xml:space="preserve"> </w:t>
      </w:r>
      <w:r w:rsidRPr="00942660">
        <w:rPr>
          <w:sz w:val="22"/>
          <w:szCs w:val="22"/>
        </w:rPr>
        <w:t xml:space="preserve">selon </w:t>
      </w:r>
      <w:r>
        <w:rPr>
          <w:sz w:val="22"/>
          <w:szCs w:val="22"/>
        </w:rPr>
        <w:t>le</w:t>
      </w:r>
      <w:r w:rsidRPr="00942660">
        <w:rPr>
          <w:sz w:val="22"/>
          <w:szCs w:val="22"/>
        </w:rPr>
        <w:t xml:space="preserve"> FMI</w:t>
      </w:r>
      <w:r w:rsidRPr="007D468C">
        <w:rPr>
          <w:vertAlign w:val="superscript"/>
        </w:rPr>
        <w:footnoteReference w:id="17"/>
      </w:r>
      <w:r w:rsidRPr="00942660">
        <w:rPr>
          <w:sz w:val="22"/>
          <w:szCs w:val="22"/>
        </w:rPr>
        <w:t xml:space="preserve"> </w:t>
      </w:r>
      <w:r>
        <w:rPr>
          <w:sz w:val="22"/>
          <w:szCs w:val="22"/>
        </w:rPr>
        <w:t>qui l’a initialement estimé</w:t>
      </w:r>
      <w:r w:rsidRPr="00942660">
        <w:rPr>
          <w:sz w:val="22"/>
          <w:szCs w:val="22"/>
        </w:rPr>
        <w:t xml:space="preserve"> à 1,2% en 2020. Néanmoins, cette institution </w:t>
      </w:r>
      <w:r>
        <w:rPr>
          <w:sz w:val="22"/>
          <w:szCs w:val="22"/>
        </w:rPr>
        <w:t xml:space="preserve">a prévu </w:t>
      </w:r>
      <w:r w:rsidRPr="00942660">
        <w:rPr>
          <w:sz w:val="22"/>
          <w:szCs w:val="22"/>
        </w:rPr>
        <w:t xml:space="preserve">une reprise vigoureuse de l’activité en 2021 avec un taux de croissance attendu </w:t>
      </w:r>
      <w:r w:rsidR="00FE6095">
        <w:rPr>
          <w:sz w:val="22"/>
          <w:szCs w:val="22"/>
        </w:rPr>
        <w:t>de</w:t>
      </w:r>
      <w:r w:rsidRPr="00942660">
        <w:rPr>
          <w:sz w:val="22"/>
          <w:szCs w:val="22"/>
        </w:rPr>
        <w:t xml:space="preserve"> 6,9%, au-dessus de la moyenne de l’UEMOA (5,4%). </w:t>
      </w:r>
      <w:r>
        <w:rPr>
          <w:sz w:val="22"/>
          <w:szCs w:val="22"/>
        </w:rPr>
        <w:t>L</w:t>
      </w:r>
      <w:r w:rsidRPr="00942660">
        <w:rPr>
          <w:sz w:val="22"/>
          <w:szCs w:val="22"/>
        </w:rPr>
        <w:t xml:space="preserve">a croissance </w:t>
      </w:r>
      <w:r>
        <w:rPr>
          <w:sz w:val="22"/>
          <w:szCs w:val="22"/>
        </w:rPr>
        <w:t>devrait se renforcer en 2022 suite</w:t>
      </w:r>
      <w:r w:rsidRPr="00942660">
        <w:rPr>
          <w:sz w:val="22"/>
          <w:szCs w:val="22"/>
        </w:rPr>
        <w:t xml:space="preserve"> à </w:t>
      </w:r>
      <w:r>
        <w:rPr>
          <w:sz w:val="22"/>
          <w:szCs w:val="22"/>
        </w:rPr>
        <w:t>la</w:t>
      </w:r>
      <w:r w:rsidRPr="00942660">
        <w:rPr>
          <w:sz w:val="22"/>
          <w:szCs w:val="22"/>
        </w:rPr>
        <w:t xml:space="preserve"> reprise de l'activité dans les secteurs de la construction et de l'agriculture</w:t>
      </w:r>
      <w:r>
        <w:rPr>
          <w:sz w:val="22"/>
          <w:szCs w:val="22"/>
        </w:rPr>
        <w:t>,</w:t>
      </w:r>
      <w:r w:rsidRPr="00942660">
        <w:rPr>
          <w:sz w:val="22"/>
          <w:szCs w:val="22"/>
        </w:rPr>
        <w:t xml:space="preserve"> et à une accélération de la croissance en Afrique subsaharienne. </w:t>
      </w:r>
      <w:r w:rsidRPr="00DE1412">
        <w:rPr>
          <w:sz w:val="22"/>
          <w:szCs w:val="22"/>
        </w:rPr>
        <w:t xml:space="preserve">Le FMI prévoit un taux de croissance </w:t>
      </w:r>
      <w:r>
        <w:rPr>
          <w:sz w:val="22"/>
          <w:szCs w:val="22"/>
        </w:rPr>
        <w:t>de</w:t>
      </w:r>
      <w:r w:rsidRPr="00DE1412">
        <w:rPr>
          <w:sz w:val="22"/>
          <w:szCs w:val="22"/>
        </w:rPr>
        <w:t xml:space="preserve"> 12,8% en 2022 et </w:t>
      </w:r>
      <w:r>
        <w:rPr>
          <w:sz w:val="22"/>
          <w:szCs w:val="22"/>
        </w:rPr>
        <w:t xml:space="preserve">de </w:t>
      </w:r>
      <w:r w:rsidRPr="00DE1412">
        <w:rPr>
          <w:sz w:val="22"/>
          <w:szCs w:val="22"/>
        </w:rPr>
        <w:t>5,8% en 2026, grâce à une forte augmentation (400%) de la production de pétrole brut au Niger à partir de 2022. Le taux d’inflation resterait stable à 2% entre 2022 et 2026. Enfin, selon le FMI, le PIB nominal par habitan</w:t>
      </w:r>
      <w:r>
        <w:rPr>
          <w:sz w:val="22"/>
          <w:szCs w:val="22"/>
        </w:rPr>
        <w:t>t a connu un accroissement de 2,</w:t>
      </w:r>
      <w:r w:rsidRPr="00DE1412">
        <w:rPr>
          <w:sz w:val="22"/>
          <w:szCs w:val="22"/>
        </w:rPr>
        <w:t xml:space="preserve">2% entre 2019 et 2020, passant de 553,9 USD à 565,9 USD. </w:t>
      </w:r>
      <w:r>
        <w:rPr>
          <w:sz w:val="22"/>
          <w:szCs w:val="22"/>
        </w:rPr>
        <w:t>En 2021, s</w:t>
      </w:r>
      <w:r w:rsidRPr="00DE1412">
        <w:rPr>
          <w:sz w:val="22"/>
          <w:szCs w:val="22"/>
        </w:rPr>
        <w:t xml:space="preserve">a valeur </w:t>
      </w:r>
      <w:r>
        <w:rPr>
          <w:sz w:val="22"/>
          <w:szCs w:val="22"/>
        </w:rPr>
        <w:t xml:space="preserve">est </w:t>
      </w:r>
      <w:r w:rsidRPr="00DE1412">
        <w:rPr>
          <w:sz w:val="22"/>
          <w:szCs w:val="22"/>
        </w:rPr>
        <w:t xml:space="preserve">estimée </w:t>
      </w:r>
      <w:r>
        <w:rPr>
          <w:sz w:val="22"/>
          <w:szCs w:val="22"/>
        </w:rPr>
        <w:t>à</w:t>
      </w:r>
      <w:r w:rsidRPr="00DE1412">
        <w:rPr>
          <w:sz w:val="22"/>
          <w:szCs w:val="22"/>
        </w:rPr>
        <w:t xml:space="preserve"> 632,6 USD</w:t>
      </w:r>
      <w:r>
        <w:rPr>
          <w:sz w:val="22"/>
          <w:szCs w:val="22"/>
        </w:rPr>
        <w:t>. Elle devrait</w:t>
      </w:r>
      <w:r w:rsidRPr="00DE1412">
        <w:rPr>
          <w:sz w:val="22"/>
          <w:szCs w:val="22"/>
        </w:rPr>
        <w:t xml:space="preserve"> </w:t>
      </w:r>
      <w:r>
        <w:rPr>
          <w:sz w:val="22"/>
          <w:szCs w:val="22"/>
        </w:rPr>
        <w:t>atteindre</w:t>
      </w:r>
      <w:r w:rsidRPr="00DE1412">
        <w:rPr>
          <w:sz w:val="22"/>
          <w:szCs w:val="22"/>
        </w:rPr>
        <w:t xml:space="preserve"> 888,5 USD en 2026</w:t>
      </w:r>
      <w:r w:rsidRPr="00942660">
        <w:rPr>
          <w:sz w:val="22"/>
          <w:szCs w:val="22"/>
        </w:rPr>
        <w:t>.</w:t>
      </w:r>
    </w:p>
    <w:p w14:paraId="15B5D521" w14:textId="7DCCF273" w:rsidR="0028280C" w:rsidRDefault="0028280C" w:rsidP="0028280C">
      <w:pPr>
        <w:pStyle w:val="NormalWeb"/>
        <w:jc w:val="both"/>
        <w:rPr>
          <w:sz w:val="22"/>
          <w:szCs w:val="22"/>
        </w:rPr>
      </w:pPr>
      <w:r>
        <w:rPr>
          <w:sz w:val="22"/>
          <w:szCs w:val="22"/>
        </w:rPr>
        <w:t>Le taux de croissance économique moyen de 6,6% enregistré par le Niger sur la période 2010-2019 (au-dessus de la moyenne communautaire de l’UEMOA de 5,2% sur la même période) suscite quelques interrogations </w:t>
      </w:r>
      <w:r w:rsidR="00FE6095">
        <w:rPr>
          <w:sz w:val="22"/>
          <w:szCs w:val="22"/>
        </w:rPr>
        <w:t>ci-après</w:t>
      </w:r>
      <w:r>
        <w:rPr>
          <w:sz w:val="22"/>
          <w:szCs w:val="22"/>
        </w:rPr>
        <w:t xml:space="preserve"> :</w:t>
      </w:r>
    </w:p>
    <w:p w14:paraId="7BBE0184" w14:textId="77777777" w:rsidR="0028280C" w:rsidRPr="001511F7" w:rsidRDefault="0028280C" w:rsidP="0028280C">
      <w:pPr>
        <w:pStyle w:val="NormalWeb"/>
        <w:numPr>
          <w:ilvl w:val="0"/>
          <w:numId w:val="7"/>
        </w:numPr>
        <w:jc w:val="both"/>
        <w:rPr>
          <w:b/>
          <w:i/>
          <w:sz w:val="22"/>
          <w:szCs w:val="22"/>
        </w:rPr>
      </w:pPr>
      <w:r w:rsidRPr="001511F7">
        <w:rPr>
          <w:b/>
          <w:bCs/>
          <w:i/>
        </w:rPr>
        <w:t>Cette</w:t>
      </w:r>
      <w:r w:rsidRPr="001511F7">
        <w:rPr>
          <w:b/>
          <w:bCs/>
          <w:i/>
          <w:sz w:val="22"/>
          <w:szCs w:val="22"/>
        </w:rPr>
        <w:t xml:space="preserve"> croissance économique, portée par l’agriculture a-t-elle été inclusive et génératrice d’emplois ?</w:t>
      </w:r>
    </w:p>
    <w:p w14:paraId="434D1D70" w14:textId="77777777" w:rsidR="0028280C" w:rsidRPr="001511F7" w:rsidRDefault="0028280C" w:rsidP="0028280C">
      <w:pPr>
        <w:pStyle w:val="NormalWeb"/>
        <w:numPr>
          <w:ilvl w:val="0"/>
          <w:numId w:val="7"/>
        </w:numPr>
        <w:jc w:val="both"/>
        <w:rPr>
          <w:b/>
          <w:i/>
          <w:sz w:val="22"/>
          <w:szCs w:val="22"/>
        </w:rPr>
      </w:pPr>
      <w:r w:rsidRPr="001511F7">
        <w:rPr>
          <w:b/>
          <w:bCs/>
          <w:i/>
        </w:rPr>
        <w:t>Cette croissance économique a-t-elle contribué à réduire le taux relativement élevé de pauvreté ?</w:t>
      </w:r>
    </w:p>
    <w:p w14:paraId="006F2E87" w14:textId="77777777" w:rsidR="0028280C" w:rsidRPr="001511F7" w:rsidRDefault="0028280C" w:rsidP="0028280C">
      <w:pPr>
        <w:pStyle w:val="NormalWeb"/>
        <w:numPr>
          <w:ilvl w:val="0"/>
          <w:numId w:val="7"/>
        </w:numPr>
        <w:jc w:val="both"/>
        <w:rPr>
          <w:b/>
          <w:i/>
          <w:sz w:val="22"/>
          <w:szCs w:val="22"/>
        </w:rPr>
      </w:pPr>
      <w:r w:rsidRPr="001511F7">
        <w:rPr>
          <w:b/>
          <w:i/>
          <w:sz w:val="22"/>
          <w:szCs w:val="22"/>
        </w:rPr>
        <w:t>Cette croissance économique a-t-elle crée l’émergence ou l’élargissement de la classe moyenne ?</w:t>
      </w:r>
    </w:p>
    <w:p w14:paraId="3A7E2EAC" w14:textId="479803B8" w:rsidR="00FE6095" w:rsidRPr="00A16CFC" w:rsidRDefault="0028280C" w:rsidP="00A16CFC">
      <w:pPr>
        <w:pStyle w:val="NormalWeb"/>
        <w:jc w:val="center"/>
        <w:rPr>
          <w:sz w:val="22"/>
          <w:szCs w:val="22"/>
        </w:rPr>
      </w:pPr>
      <w:r w:rsidRPr="0080086C">
        <w:rPr>
          <w:noProof/>
        </w:rPr>
        <w:drawing>
          <wp:inline distT="0" distB="0" distL="0" distR="0" wp14:anchorId="4A870DF3" wp14:editId="3A2F07FB">
            <wp:extent cx="3442335" cy="2089342"/>
            <wp:effectExtent l="0" t="0" r="5715" b="635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53577" cy="2096166"/>
                    </a:xfrm>
                    <a:prstGeom prst="rect">
                      <a:avLst/>
                    </a:prstGeom>
                    <a:noFill/>
                    <a:ln>
                      <a:noFill/>
                    </a:ln>
                  </pic:spPr>
                </pic:pic>
              </a:graphicData>
            </a:graphic>
          </wp:inline>
        </w:drawing>
      </w:r>
    </w:p>
    <w:p w14:paraId="17F9F080" w14:textId="6BA7349F" w:rsidR="0028280C" w:rsidRDefault="0028280C" w:rsidP="0028280C">
      <w:pPr>
        <w:pStyle w:val="NormalWeb"/>
        <w:jc w:val="both"/>
        <w:rPr>
          <w:bCs/>
          <w:sz w:val="22"/>
          <w:szCs w:val="22"/>
        </w:rPr>
      </w:pPr>
      <w:r>
        <w:rPr>
          <w:bCs/>
          <w:sz w:val="22"/>
          <w:szCs w:val="22"/>
        </w:rPr>
        <w:t xml:space="preserve">Eu égard aux données disponibles relatives à la pauvreté et l’accroissement des inégalités, on peut affirmer que la croissance a été très peu inclusive. </w:t>
      </w:r>
      <w:r w:rsidRPr="0073321D">
        <w:rPr>
          <w:bCs/>
          <w:sz w:val="22"/>
          <w:szCs w:val="22"/>
        </w:rPr>
        <w:t xml:space="preserve">Malgré son importante dotation en ressources naturelles et la réalisation d’une forte croissance entre 2010 et 2017 (avec une moyenne de croissance </w:t>
      </w:r>
      <w:r w:rsidRPr="0073321D">
        <w:rPr>
          <w:bCs/>
          <w:sz w:val="22"/>
          <w:szCs w:val="22"/>
        </w:rPr>
        <w:lastRenderedPageBreak/>
        <w:t>du PIB de 6%)</w:t>
      </w:r>
      <w:r w:rsidR="00FE6095">
        <w:rPr>
          <w:bCs/>
          <w:sz w:val="22"/>
          <w:szCs w:val="22"/>
        </w:rPr>
        <w:t>,</w:t>
      </w:r>
      <w:r w:rsidRPr="0073321D">
        <w:rPr>
          <w:bCs/>
          <w:sz w:val="22"/>
          <w:szCs w:val="22"/>
        </w:rPr>
        <w:t xml:space="preserve"> les inégalités de revenus se sont aggravées. En effet, dans les pays du Sahel, le Niger est en 2</w:t>
      </w:r>
      <w:r w:rsidRPr="0073321D">
        <w:rPr>
          <w:bCs/>
          <w:sz w:val="22"/>
          <w:szCs w:val="22"/>
          <w:vertAlign w:val="superscript"/>
        </w:rPr>
        <w:t>ème</w:t>
      </w:r>
      <w:r w:rsidRPr="0073321D">
        <w:rPr>
          <w:bCs/>
          <w:sz w:val="22"/>
          <w:szCs w:val="22"/>
        </w:rPr>
        <w:t xml:space="preserve"> position en termes d’inégalités de revenus. 10% des plus riches détiennent l’équivalent de 43,3% du revenu national contrairement aux 50% les plus pauvres qui détiennent 15,7%</w:t>
      </w:r>
      <w:r w:rsidRPr="0073321D">
        <w:rPr>
          <w:rStyle w:val="Appelnotedebasdep"/>
          <w:bCs/>
          <w:sz w:val="22"/>
          <w:szCs w:val="22"/>
        </w:rPr>
        <w:footnoteReference w:id="18"/>
      </w:r>
      <w:r w:rsidRPr="0073321D">
        <w:rPr>
          <w:bCs/>
          <w:sz w:val="22"/>
          <w:szCs w:val="22"/>
        </w:rPr>
        <w:t>.</w:t>
      </w:r>
      <w:r w:rsidRPr="00831B44">
        <w:t xml:space="preserve"> </w:t>
      </w:r>
      <w:r w:rsidR="00FE6095">
        <w:t>L</w:t>
      </w:r>
      <w:r w:rsidRPr="00831B44">
        <w:rPr>
          <w:sz w:val="22"/>
          <w:szCs w:val="22"/>
        </w:rPr>
        <w:t>e taux de pauvreté est passé de 48,2% en 2011 (ECVMA) à 40,8% en 2019 (EHCVM)</w:t>
      </w:r>
      <w:r>
        <w:t> </w:t>
      </w:r>
      <w:r w:rsidRPr="00FE389F">
        <w:t>tandis que le nombre de pauvres</w:t>
      </w:r>
      <w:r>
        <w:rPr>
          <w:rStyle w:val="Appelnotedebasdep"/>
        </w:rPr>
        <w:footnoteReference w:id="19"/>
      </w:r>
      <w:r w:rsidRPr="00FE389F">
        <w:t xml:space="preserve"> </w:t>
      </w:r>
      <w:r>
        <w:t xml:space="preserve">a augmenté d’environ </w:t>
      </w:r>
      <w:r w:rsidRPr="00FE389F">
        <w:t>un demi-million de personnes sur la même période.</w:t>
      </w:r>
      <w:r>
        <w:rPr>
          <w:bCs/>
          <w:sz w:val="22"/>
          <w:szCs w:val="22"/>
        </w:rPr>
        <w:t xml:space="preserve"> </w:t>
      </w:r>
      <w:r w:rsidRPr="007D468C">
        <w:rPr>
          <w:bCs/>
          <w:sz w:val="22"/>
          <w:szCs w:val="22"/>
        </w:rPr>
        <w:t>Elle a été beaucou</w:t>
      </w:r>
      <w:r>
        <w:rPr>
          <w:bCs/>
          <w:sz w:val="22"/>
          <w:szCs w:val="22"/>
        </w:rPr>
        <w:t xml:space="preserve">p plus sensible en milieu rural. En effet, </w:t>
      </w:r>
      <w:r w:rsidRPr="00270D39">
        <w:t xml:space="preserve">en milieu rural, la pauvreté touche 46,8 % de la population, contre 11,8% en milieu urbain. </w:t>
      </w:r>
      <w:r>
        <w:t>Ainsi, s</w:t>
      </w:r>
      <w:r w:rsidRPr="0073321D">
        <w:rPr>
          <w:bCs/>
          <w:sz w:val="22"/>
          <w:szCs w:val="22"/>
        </w:rPr>
        <w:t>ur les 9 millions d’habitants pauvres, 95 % vivent dans les zones rurales et près de la moitié de la population rurale ne satisfait pas ses besoins nutritionnels et non alimentaires de base contre 12 % de la population urbaine</w:t>
      </w:r>
      <w:r w:rsidRPr="0073321D">
        <w:rPr>
          <w:rStyle w:val="Appelnotedebasdep"/>
          <w:bCs/>
          <w:sz w:val="22"/>
          <w:szCs w:val="22"/>
        </w:rPr>
        <w:footnoteReference w:id="20"/>
      </w:r>
      <w:r w:rsidRPr="0073321D">
        <w:rPr>
          <w:bCs/>
          <w:sz w:val="22"/>
          <w:szCs w:val="22"/>
        </w:rPr>
        <w:t xml:space="preserve">. Dans les zones rurales, près </w:t>
      </w:r>
      <w:r>
        <w:rPr>
          <w:bCs/>
          <w:sz w:val="22"/>
          <w:szCs w:val="22"/>
        </w:rPr>
        <w:t xml:space="preserve">de </w:t>
      </w:r>
      <w:r w:rsidRPr="0073321D">
        <w:rPr>
          <w:bCs/>
          <w:sz w:val="22"/>
          <w:szCs w:val="22"/>
        </w:rPr>
        <w:t>2/3 des pauvres du Niger, soit l’équivalent de 5,6 millions de personnes, sont concentrés dans</w:t>
      </w:r>
      <w:r w:rsidRPr="005A0DCF">
        <w:t xml:space="preserve"> </w:t>
      </w:r>
      <w:r>
        <w:t xml:space="preserve">les régions </w:t>
      </w:r>
      <w:r w:rsidRPr="00831B44">
        <w:t>de Dosso (48,4%), Zinder (47,8%), Maradi (46,1%) et Tillaberi (42,3%).</w:t>
      </w:r>
      <w:r>
        <w:rPr>
          <w:bCs/>
          <w:sz w:val="22"/>
          <w:szCs w:val="22"/>
        </w:rPr>
        <w:t xml:space="preserve"> </w:t>
      </w:r>
      <w:r w:rsidRPr="0073321D">
        <w:rPr>
          <w:bCs/>
          <w:sz w:val="22"/>
          <w:szCs w:val="22"/>
        </w:rPr>
        <w:t xml:space="preserve">Ces disparités au sein du pays constituent une source potentielle </w:t>
      </w:r>
      <w:r>
        <w:rPr>
          <w:bCs/>
          <w:sz w:val="22"/>
          <w:szCs w:val="22"/>
        </w:rPr>
        <w:t>de conflits</w:t>
      </w:r>
      <w:r w:rsidRPr="0073321D">
        <w:rPr>
          <w:bCs/>
          <w:sz w:val="22"/>
          <w:szCs w:val="22"/>
        </w:rPr>
        <w:t xml:space="preserve"> entre les régions les plus pauvres et les plus riches.</w:t>
      </w:r>
      <w:r>
        <w:rPr>
          <w:bCs/>
          <w:sz w:val="22"/>
          <w:szCs w:val="22"/>
        </w:rPr>
        <w:t xml:space="preserve"> </w:t>
      </w:r>
    </w:p>
    <w:p w14:paraId="6A8C20CF" w14:textId="2E3502A8" w:rsidR="0028280C" w:rsidRPr="009373FA" w:rsidRDefault="0028280C" w:rsidP="0028280C">
      <w:pPr>
        <w:pStyle w:val="NormalWeb"/>
        <w:jc w:val="both"/>
        <w:rPr>
          <w:bCs/>
          <w:color w:val="000000" w:themeColor="text1"/>
          <w:sz w:val="22"/>
          <w:szCs w:val="22"/>
        </w:rPr>
      </w:pPr>
      <w:r>
        <w:rPr>
          <w:bCs/>
          <w:sz w:val="22"/>
          <w:szCs w:val="22"/>
        </w:rPr>
        <w:t xml:space="preserve">En plus de l’insécurité alimentaire et nutritionnelle, une des causes majeures de la pauvreté en milieu rural est la rareté d’opportunités d’emplois pour les jeunes et les femmes.  </w:t>
      </w:r>
      <w:r w:rsidRPr="009373FA">
        <w:rPr>
          <w:bCs/>
          <w:color w:val="000000" w:themeColor="text1"/>
          <w:sz w:val="22"/>
          <w:szCs w:val="22"/>
        </w:rPr>
        <w:t>L’agriculture de subsistance, l’élevage, le petit commerce et les marchés informels qui occupent une place importante dans l’économie ne génèrent que peu d’emplois décents. Le secteur public demeure le principal pourvoyeur d’emplois. En 2017, environ 110219 emplois ont été créés par ce secteur contre 12800 emplois pour le secteur privé. Toutefois, il convient de souligner que la majorité des emplois crées par le secteur public est temporaire.</w:t>
      </w:r>
    </w:p>
    <w:p w14:paraId="1CD39BE3" w14:textId="77777777" w:rsidR="0028280C" w:rsidRPr="007473AF" w:rsidRDefault="0028280C" w:rsidP="0028280C">
      <w:pPr>
        <w:jc w:val="both"/>
        <w:rPr>
          <w:rFonts w:ascii="Times New Roman" w:hAnsi="Times New Roman" w:cs="Times New Roman"/>
          <w:bCs/>
        </w:rPr>
      </w:pPr>
      <w:r w:rsidRPr="007473AF">
        <w:rPr>
          <w:rFonts w:ascii="Times New Roman" w:hAnsi="Times New Roman" w:cs="Times New Roman"/>
          <w:bCs/>
        </w:rPr>
        <w:t xml:space="preserve">La croissance enregistrée entre </w:t>
      </w:r>
      <w:r w:rsidRPr="007473AF">
        <w:t xml:space="preserve">2010-2019 </w:t>
      </w:r>
      <w:r w:rsidRPr="007473AF">
        <w:rPr>
          <w:rFonts w:ascii="Times New Roman" w:hAnsi="Times New Roman" w:cs="Times New Roman"/>
          <w:bCs/>
        </w:rPr>
        <w:t>sous l’impulsion du secteur primaire a eu un impact limité sur l’élargissement de la classe moyenne au Niger. Selon la dernière étude de l’Institut National de la Statistique (INS)</w:t>
      </w:r>
      <w:r w:rsidRPr="007473AF">
        <w:rPr>
          <w:rFonts w:ascii="Times New Roman" w:hAnsi="Times New Roman" w:cs="Times New Roman"/>
          <w:bCs/>
          <w:vertAlign w:val="superscript"/>
          <w:lang w:val="en-US"/>
        </w:rPr>
        <w:footnoteReference w:id="21"/>
      </w:r>
      <w:r w:rsidRPr="007473AF">
        <w:rPr>
          <w:rFonts w:ascii="Times New Roman" w:hAnsi="Times New Roman" w:cs="Times New Roman"/>
          <w:bCs/>
        </w:rPr>
        <w:t>, en 2018/19, la classe moyenne nigérienne a été estimée à 48,6% de la population. Cependant, en utilisant l’approche non-monétaire, la classe moyenne est estimée à 50% de la population. L’étude a aussi relevé que le ‘noyau dur’ de la classe moyenne est estimé à 27,1% contre 23% pour la classe défavorisée et 4,8% pour la classe aisée. En outre, la proportion des ménages appartenant à la classe moyenne est passée de 26,1% en 2014 à 27,1% en 2018/19 tandis que celle de la classe aisée est passée de 4,1% à 4,8% sur la même période.</w:t>
      </w:r>
    </w:p>
    <w:p w14:paraId="7D102283" w14:textId="77777777" w:rsidR="0028280C" w:rsidRPr="00E25B1F" w:rsidRDefault="0028280C" w:rsidP="00E25B1F">
      <w:pPr>
        <w:pStyle w:val="Titre4"/>
        <w:rPr>
          <w:rFonts w:ascii="Bernard MT Condensed" w:hAnsi="Bernard MT Condensed"/>
          <w:sz w:val="24"/>
          <w:szCs w:val="24"/>
        </w:rPr>
      </w:pPr>
      <w:r w:rsidRPr="00E25B1F">
        <w:rPr>
          <w:rFonts w:ascii="Bernard MT Condensed" w:hAnsi="Bernard MT Condensed"/>
          <w:sz w:val="24"/>
          <w:szCs w:val="24"/>
        </w:rPr>
        <w:t>I.3.6.3 -  -Transformation structurelle de l’économie</w:t>
      </w:r>
    </w:p>
    <w:p w14:paraId="6F08EDA1" w14:textId="008EC563" w:rsidR="0028280C" w:rsidRDefault="0028280C" w:rsidP="0028280C">
      <w:pPr>
        <w:jc w:val="both"/>
        <w:rPr>
          <w:rFonts w:ascii="Times New Roman" w:hAnsi="Times New Roman" w:cs="Times New Roman"/>
        </w:rPr>
      </w:pPr>
      <w:r w:rsidRPr="005149B9">
        <w:rPr>
          <w:rFonts w:ascii="Times New Roman" w:hAnsi="Times New Roman" w:cs="Times New Roman"/>
          <w:bCs/>
        </w:rPr>
        <w:t xml:space="preserve">Le Niger présente des vulnérabilités structurelles et conjoncturelles du fait de la structure de son économie, principalement structurée autour du secteur primaire (secteur extractif et agriculture). Le pays est très dépendant de quelques produits phare pour ses exportations dont plus de 80% sont issues des produits miniers et des hydrocarbures (l’or, pétrole et uranium). Quant au secteur agricole, qui représente plus de 70% des emplois (Banque Mondiale), elle repose en grande partie sur les cultures de subsistance et le bétail. Son économie est très peu diversifiée. Le PDES </w:t>
      </w:r>
      <w:r w:rsidRPr="005149B9">
        <w:rPr>
          <w:rFonts w:ascii="Times New Roman" w:hAnsi="Times New Roman" w:cs="Times New Roman"/>
        </w:rPr>
        <w:t>2017-2021</w:t>
      </w:r>
      <w:r w:rsidRPr="005149B9">
        <w:rPr>
          <w:rFonts w:ascii="Times New Roman" w:hAnsi="Times New Roman" w:cs="Times New Roman"/>
          <w:sz w:val="24"/>
          <w:szCs w:val="24"/>
        </w:rPr>
        <w:t xml:space="preserve"> </w:t>
      </w:r>
      <w:r w:rsidRPr="005149B9">
        <w:rPr>
          <w:rFonts w:ascii="Times New Roman" w:hAnsi="Times New Roman" w:cs="Times New Roman"/>
        </w:rPr>
        <w:t xml:space="preserve">s’est assigné comme ambition la transformation structurelle de l’économie nigérienne en se basant sur la diversification. </w:t>
      </w:r>
      <w:r w:rsidRPr="007450CC">
        <w:rPr>
          <w:rFonts w:ascii="Times New Roman" w:hAnsi="Times New Roman" w:cs="Times New Roman"/>
        </w:rPr>
        <w:t>Cependant, la persistance de l’approche en silos dans les secteurs porteurs de crois</w:t>
      </w:r>
      <w:r w:rsidR="00FE6095">
        <w:rPr>
          <w:rFonts w:ascii="Times New Roman" w:hAnsi="Times New Roman" w:cs="Times New Roman"/>
        </w:rPr>
        <w:t xml:space="preserve">sance tels que l’agriculture, </w:t>
      </w:r>
      <w:r w:rsidRPr="007450CC">
        <w:rPr>
          <w:rFonts w:ascii="Times New Roman" w:hAnsi="Times New Roman" w:cs="Times New Roman"/>
        </w:rPr>
        <w:t xml:space="preserve">l’élevage et l’industrie extractive </w:t>
      </w:r>
      <w:r>
        <w:rPr>
          <w:rFonts w:ascii="Times New Roman" w:hAnsi="Times New Roman" w:cs="Times New Roman"/>
        </w:rPr>
        <w:t>demeure</w:t>
      </w:r>
      <w:r w:rsidRPr="007450CC">
        <w:rPr>
          <w:rFonts w:ascii="Times New Roman" w:hAnsi="Times New Roman" w:cs="Times New Roman"/>
        </w:rPr>
        <w:t xml:space="preserve"> un sérieux handicap pour l’enclenchement de cette dynamique. La promotion de la transformation structurelle de l’économie nécessite le</w:t>
      </w:r>
      <w:r w:rsidRPr="00036208">
        <w:rPr>
          <w:rFonts w:ascii="Times New Roman" w:hAnsi="Times New Roman" w:cs="Times New Roman"/>
        </w:rPr>
        <w:t xml:space="preserve"> </w:t>
      </w:r>
      <w:r w:rsidRPr="007450CC">
        <w:rPr>
          <w:rFonts w:ascii="Times New Roman" w:hAnsi="Times New Roman" w:cs="Times New Roman"/>
        </w:rPr>
        <w:t xml:space="preserve">renforcement des synergies entre les secteurs primaire et secondaire à travers l’identification et le développement des produits à forte valeur ajoutée et générateurs d’emplois. </w:t>
      </w:r>
      <w:r>
        <w:rPr>
          <w:rFonts w:ascii="Times New Roman" w:hAnsi="Times New Roman" w:cs="Times New Roman"/>
        </w:rPr>
        <w:t xml:space="preserve">En outre, elle devrait se </w:t>
      </w:r>
      <w:r>
        <w:rPr>
          <w:rFonts w:ascii="Times New Roman" w:hAnsi="Times New Roman" w:cs="Times New Roman"/>
        </w:rPr>
        <w:lastRenderedPageBreak/>
        <w:t>traduire par le transfert de la main d’œuvre du secteur agricole vers l’industrie et les services à haute productivité et valeur ajoutée. Mais, b</w:t>
      </w:r>
      <w:r w:rsidRPr="007450CC">
        <w:rPr>
          <w:rFonts w:ascii="Times New Roman" w:hAnsi="Times New Roman" w:cs="Times New Roman"/>
        </w:rPr>
        <w:t>ien que l’agriculture demeure la pierre angulaire de l’économie</w:t>
      </w:r>
      <w:r>
        <w:rPr>
          <w:rFonts w:ascii="Times New Roman" w:hAnsi="Times New Roman" w:cs="Times New Roman"/>
        </w:rPr>
        <w:t xml:space="preserve"> nigérienne</w:t>
      </w:r>
      <w:r w:rsidRPr="007450CC">
        <w:rPr>
          <w:rFonts w:ascii="Times New Roman" w:hAnsi="Times New Roman" w:cs="Times New Roman"/>
        </w:rPr>
        <w:t xml:space="preserve">, </w:t>
      </w:r>
      <w:r>
        <w:rPr>
          <w:rFonts w:ascii="Times New Roman" w:hAnsi="Times New Roman" w:cs="Times New Roman"/>
        </w:rPr>
        <w:t>le faible développement des chaî</w:t>
      </w:r>
      <w:r w:rsidRPr="007450CC">
        <w:rPr>
          <w:rFonts w:ascii="Times New Roman" w:hAnsi="Times New Roman" w:cs="Times New Roman"/>
        </w:rPr>
        <w:t>nes de valeur agricoles n’aide pas le pays à impulser le processus de transformation structurelle de son économie, laissant ainsi passer l’opportunité de créer plus d’emplois.</w:t>
      </w:r>
    </w:p>
    <w:p w14:paraId="44912503" w14:textId="26D0F39D" w:rsidR="0028280C" w:rsidRDefault="0028280C" w:rsidP="0028280C">
      <w:pPr>
        <w:jc w:val="both"/>
        <w:rPr>
          <w:rFonts w:ascii="Times New Roman" w:hAnsi="Times New Roman" w:cs="Times New Roman"/>
        </w:rPr>
      </w:pPr>
      <w:r w:rsidRPr="007A1D9D">
        <w:rPr>
          <w:rFonts w:ascii="Times New Roman" w:hAnsi="Times New Roman" w:cs="Times New Roman"/>
        </w:rPr>
        <w:t xml:space="preserve">Au Niger, </w:t>
      </w:r>
      <w:r>
        <w:rPr>
          <w:rFonts w:ascii="Times New Roman" w:hAnsi="Times New Roman" w:cs="Times New Roman"/>
        </w:rPr>
        <w:t xml:space="preserve">comme le montre le schéma ci-dessous, </w:t>
      </w:r>
      <w:r w:rsidRPr="007A1D9D">
        <w:rPr>
          <w:rFonts w:ascii="Times New Roman" w:hAnsi="Times New Roman" w:cs="Times New Roman"/>
        </w:rPr>
        <w:t xml:space="preserve">72% à 73% de la main d’œuvre est encore employée dans le secteur agricole contre 6% à 7% dans l’industrie et 19% à 20% dans les services. Sur la période 2015-2019, il n’y a pratiquement pas eu de mouvement de la main d’œuvre du secteur primaire vers le secteur secondaire ou tertiaire. Toutefois, un élément marquant de la période est la légère baisse de la proportion des femmes employées dans le secteur agricole. La proportion des femmes employées dans le secteur agricole est passée de 71,7% en 2015 à 69,5% en 2019. Sur la même période, la proportion de femmes employées dans le secteur tertiaire, notamment les services, est passé de 17,4% en 2015 à 19,2% en 2019, soit un gain de 1,8 pourcentage de points. Quant aux hommes, la majorité est </w:t>
      </w:r>
      <w:r w:rsidR="00973BB5">
        <w:rPr>
          <w:rFonts w:ascii="Times New Roman" w:hAnsi="Times New Roman" w:cs="Times New Roman"/>
        </w:rPr>
        <w:t>rest</w:t>
      </w:r>
      <w:r w:rsidRPr="007A1D9D">
        <w:rPr>
          <w:rFonts w:ascii="Times New Roman" w:hAnsi="Times New Roman" w:cs="Times New Roman"/>
        </w:rPr>
        <w:t>ée dans le secteur agricole et un nombre très faible a immigré vers les services</w:t>
      </w:r>
      <w:r>
        <w:rPr>
          <w:rFonts w:ascii="Times New Roman" w:hAnsi="Times New Roman" w:cs="Times New Roman"/>
        </w:rPr>
        <w:t>.</w:t>
      </w:r>
      <w:r w:rsidRPr="007A1D9D">
        <w:rPr>
          <w:rFonts w:ascii="Times New Roman" w:hAnsi="Times New Roman" w:cs="Times New Roman"/>
        </w:rPr>
        <w:t xml:space="preserve"> </w:t>
      </w:r>
    </w:p>
    <w:p w14:paraId="0F45B0BF" w14:textId="77777777" w:rsidR="0028280C" w:rsidRPr="007A1D9D" w:rsidRDefault="0028280C" w:rsidP="0028280C">
      <w:pPr>
        <w:jc w:val="both"/>
        <w:rPr>
          <w:rFonts w:ascii="Times New Roman" w:hAnsi="Times New Roman" w:cs="Times New Roman"/>
        </w:rPr>
      </w:pPr>
      <w:r w:rsidRPr="007A1D9D">
        <w:rPr>
          <w:rFonts w:ascii="Times New Roman" w:hAnsi="Times New Roman" w:cs="Times New Roman"/>
        </w:rPr>
        <w:t xml:space="preserve">    </w:t>
      </w:r>
    </w:p>
    <w:p w14:paraId="7F9A3BE4" w14:textId="77777777" w:rsidR="0028280C" w:rsidRDefault="0028280C" w:rsidP="0028280C">
      <w:pPr>
        <w:rPr>
          <w:rFonts w:ascii="Times New Roman" w:hAnsi="Times New Roman" w:cs="Times New Roman"/>
          <w:sz w:val="24"/>
          <w:szCs w:val="24"/>
          <w:lang w:val="en-US"/>
        </w:rPr>
      </w:pPr>
      <w:r>
        <w:rPr>
          <w:noProof/>
          <w:lang w:eastAsia="fr-FR"/>
        </w:rPr>
        <w:drawing>
          <wp:inline distT="0" distB="0" distL="0" distR="0" wp14:anchorId="395206D2" wp14:editId="1ADC6994">
            <wp:extent cx="5514976" cy="2743200"/>
            <wp:effectExtent l="0" t="0" r="9525" b="0"/>
            <wp:docPr id="16" name="Graphique 16">
              <a:extLst xmlns:a="http://schemas.openxmlformats.org/drawingml/2006/main">
                <a:ext uri="{FF2B5EF4-FFF2-40B4-BE49-F238E27FC236}">
                  <a16:creationId xmlns:a16="http://schemas.microsoft.com/office/drawing/2014/main" id="{1144C705-B1B5-40E3-B400-1503CCEB98B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5AF895FC" w14:textId="77777777" w:rsidR="0028280C" w:rsidRPr="00D60714" w:rsidRDefault="0028280C" w:rsidP="0028280C">
      <w:pPr>
        <w:rPr>
          <w:rFonts w:ascii="Times New Roman" w:hAnsi="Times New Roman" w:cs="Times New Roman"/>
          <w:sz w:val="24"/>
          <w:szCs w:val="24"/>
        </w:rPr>
      </w:pPr>
      <w:r w:rsidRPr="007D468C">
        <w:rPr>
          <w:rFonts w:ascii="Times New Roman" w:hAnsi="Times New Roman" w:cs="Times New Roman"/>
          <w:sz w:val="24"/>
          <w:szCs w:val="24"/>
        </w:rPr>
        <w:t>Source: Base</w:t>
      </w:r>
      <w:r>
        <w:rPr>
          <w:rFonts w:ascii="Times New Roman" w:hAnsi="Times New Roman" w:cs="Times New Roman"/>
          <w:sz w:val="24"/>
          <w:szCs w:val="24"/>
        </w:rPr>
        <w:t xml:space="preserve"> de données Banque Mondiale</w:t>
      </w:r>
    </w:p>
    <w:p w14:paraId="0D9EBDA4" w14:textId="15A20155" w:rsidR="0028280C" w:rsidRPr="006B3AB7" w:rsidRDefault="0028280C" w:rsidP="0028280C">
      <w:pPr>
        <w:jc w:val="both"/>
        <w:rPr>
          <w:rFonts w:ascii="Times New Roman" w:hAnsi="Times New Roman" w:cs="Times New Roman"/>
        </w:rPr>
      </w:pPr>
      <w:r w:rsidRPr="007A1D9D">
        <w:rPr>
          <w:rFonts w:ascii="Times New Roman" w:hAnsi="Times New Roman" w:cs="Times New Roman"/>
        </w:rPr>
        <w:t xml:space="preserve">La construction des chaînes de valeurs au niveau national </w:t>
      </w:r>
      <w:r w:rsidR="00E846FC">
        <w:rPr>
          <w:rFonts w:ascii="Times New Roman" w:hAnsi="Times New Roman" w:cs="Times New Roman"/>
        </w:rPr>
        <w:t xml:space="preserve">reste cruciale pour développer </w:t>
      </w:r>
      <w:r w:rsidR="00973BB5">
        <w:rPr>
          <w:rFonts w:ascii="Times New Roman" w:hAnsi="Times New Roman" w:cs="Times New Roman"/>
        </w:rPr>
        <w:t>l</w:t>
      </w:r>
      <w:r w:rsidRPr="007A1D9D">
        <w:rPr>
          <w:rFonts w:ascii="Times New Roman" w:hAnsi="Times New Roman" w:cs="Times New Roman"/>
        </w:rPr>
        <w:t>es synergies qui devraient contribuer à la promotion de l’agro-industrie. A la faveur de ce changement stratégique, l’insertion du Niger dans les chaînes de valeurs régionales donnera une forte impulsion aux échanges commerciaux et aux IDE. Elle aura également un fort impact sur la création d’emplois décents pour la population particulièrement pour les jeunes et les femmes grâce au transfert de la main d’œuvre entre le secteur agricole et le secteur industriel ainsi que les services. Pour l’identification et le développement des produits à forte valeur ajoutée qui devraient être priorises pour la construction des chaînes de valeurs, le Niger devrait aussi se baser sur sa “</w:t>
      </w:r>
      <w:r w:rsidRPr="007A1D9D">
        <w:rPr>
          <w:rStyle w:val="Appelnotedebasdep"/>
          <w:rFonts w:ascii="Times New Roman" w:hAnsi="Times New Roman" w:cs="Times New Roman"/>
          <w:lang w:val="en-US"/>
        </w:rPr>
        <w:footnoteReference w:id="22"/>
      </w:r>
      <w:r w:rsidRPr="007A1D9D">
        <w:rPr>
          <w:rFonts w:ascii="Times New Roman" w:hAnsi="Times New Roman" w:cs="Times New Roman"/>
        </w:rPr>
        <w:t>stratégie Nationale de Promotion de Pôles Régionaux de Développement” en identifiant les avantages comparatifs de chacune ses huit (8) régions</w:t>
      </w:r>
      <w:r>
        <w:rPr>
          <w:rFonts w:ascii="Times New Roman" w:hAnsi="Times New Roman" w:cs="Times New Roman"/>
        </w:rPr>
        <w:t>.</w:t>
      </w:r>
    </w:p>
    <w:tbl>
      <w:tblPr>
        <w:tblW w:w="10589" w:type="dxa"/>
        <w:tblInd w:w="-545" w:type="dxa"/>
        <w:tblLayout w:type="fixed"/>
        <w:tblCellMar>
          <w:left w:w="70" w:type="dxa"/>
          <w:right w:w="70" w:type="dxa"/>
        </w:tblCellMar>
        <w:tblLook w:val="04A0" w:firstRow="1" w:lastRow="0" w:firstColumn="1" w:lastColumn="0" w:noHBand="0" w:noVBand="1"/>
      </w:tblPr>
      <w:tblGrid>
        <w:gridCol w:w="5645"/>
        <w:gridCol w:w="4944"/>
      </w:tblGrid>
      <w:tr w:rsidR="0028280C" w14:paraId="0DA22982" w14:textId="77777777" w:rsidTr="00E43F48">
        <w:trPr>
          <w:trHeight w:val="4447"/>
        </w:trPr>
        <w:tc>
          <w:tcPr>
            <w:tcW w:w="5645" w:type="dxa"/>
          </w:tcPr>
          <w:p w14:paraId="1DDDEEEF" w14:textId="77777777" w:rsidR="0028280C" w:rsidRDefault="0028280C" w:rsidP="00E43F48">
            <w:r>
              <w:rPr>
                <w:noProof/>
                <w:lang w:eastAsia="fr-FR"/>
              </w:rPr>
              <w:lastRenderedPageBreak/>
              <w:drawing>
                <wp:inline distT="0" distB="0" distL="0" distR="0" wp14:anchorId="14CB0A97" wp14:editId="4C6202B2">
                  <wp:extent cx="3695700" cy="3232150"/>
                  <wp:effectExtent l="0" t="0" r="0" b="6350"/>
                  <wp:docPr id="17" name="Graphique 17">
                    <a:extLst xmlns:a="http://schemas.openxmlformats.org/drawingml/2006/main">
                      <a:ext uri="{FF2B5EF4-FFF2-40B4-BE49-F238E27FC236}">
                        <a16:creationId xmlns:a16="http://schemas.microsoft.com/office/drawing/2014/main" id="{4B26853C-8ED9-40A9-B8D6-817D0EF38CF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tc>
        <w:tc>
          <w:tcPr>
            <w:tcW w:w="4944" w:type="dxa"/>
          </w:tcPr>
          <w:p w14:paraId="6623FCB2" w14:textId="77777777" w:rsidR="0028280C" w:rsidRDefault="0028280C" w:rsidP="00E43F48">
            <w:r>
              <w:rPr>
                <w:noProof/>
                <w:lang w:eastAsia="fr-FR"/>
              </w:rPr>
              <w:drawing>
                <wp:inline distT="0" distB="0" distL="0" distR="0" wp14:anchorId="670E3736" wp14:editId="2768F693">
                  <wp:extent cx="3492500" cy="3270250"/>
                  <wp:effectExtent l="0" t="0" r="12700" b="6350"/>
                  <wp:docPr id="18" name="Graphique 18">
                    <a:extLst xmlns:a="http://schemas.openxmlformats.org/drawingml/2006/main">
                      <a:ext uri="{FF2B5EF4-FFF2-40B4-BE49-F238E27FC236}">
                        <a16:creationId xmlns:a16="http://schemas.microsoft.com/office/drawing/2014/main" id="{FB70BD32-27B9-4F7A-882A-B8FEB1981BA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tc>
      </w:tr>
    </w:tbl>
    <w:p w14:paraId="211F28D6" w14:textId="77777777" w:rsidR="0028280C" w:rsidRPr="00E25B1F" w:rsidRDefault="0028280C" w:rsidP="00E25B1F">
      <w:pPr>
        <w:pStyle w:val="Titre4"/>
        <w:rPr>
          <w:rFonts w:ascii="Bernard MT Condensed" w:hAnsi="Bernard MT Condensed"/>
          <w:sz w:val="24"/>
          <w:szCs w:val="24"/>
        </w:rPr>
      </w:pPr>
      <w:r w:rsidRPr="00E25B1F">
        <w:rPr>
          <w:rFonts w:ascii="Bernard MT Condensed" w:hAnsi="Bernard MT Condensed"/>
          <w:sz w:val="24"/>
          <w:szCs w:val="24"/>
        </w:rPr>
        <w:t xml:space="preserve">I.3.6.4 -  - </w:t>
      </w:r>
      <w:r w:rsidRPr="00E25B1F">
        <w:rPr>
          <w:rFonts w:ascii="Bernard MT Condensed" w:hAnsi="Bernard MT Condensed" w:cs="Times New Roman"/>
          <w:sz w:val="24"/>
          <w:szCs w:val="24"/>
        </w:rPr>
        <w:t>Inflation</w:t>
      </w:r>
      <w:r w:rsidRPr="00E25B1F">
        <w:rPr>
          <w:rFonts w:ascii="Bernard MT Condensed" w:hAnsi="Bernard MT Condensed"/>
          <w:sz w:val="24"/>
          <w:szCs w:val="24"/>
        </w:rPr>
        <w:t>, POLITIQUE MONETAIRE, INCLUSION FINANCIERE ET SOUTIEN A L’ECONOMIE</w:t>
      </w:r>
    </w:p>
    <w:p w14:paraId="436E4D98" w14:textId="77777777" w:rsidR="0028280C" w:rsidRPr="00E25B1F" w:rsidRDefault="0028280C" w:rsidP="0028280C">
      <w:pPr>
        <w:rPr>
          <w:rFonts w:ascii="Bernard MT Condensed" w:hAnsi="Bernard MT Condensed"/>
          <w:sz w:val="24"/>
          <w:szCs w:val="24"/>
        </w:rPr>
      </w:pPr>
    </w:p>
    <w:p w14:paraId="79A38E5E" w14:textId="77777777" w:rsidR="0028280C" w:rsidRPr="00D60714" w:rsidRDefault="0028280C" w:rsidP="0028280C">
      <w:pPr>
        <w:pStyle w:val="Paragraphedeliste"/>
        <w:numPr>
          <w:ilvl w:val="0"/>
          <w:numId w:val="14"/>
        </w:numPr>
        <w:rPr>
          <w:rFonts w:ascii="Bernard MT Condensed" w:hAnsi="Bernard MT Condensed" w:cs="Times New Roman"/>
          <w:sz w:val="24"/>
          <w:szCs w:val="24"/>
        </w:rPr>
      </w:pPr>
      <w:r w:rsidRPr="00D60714">
        <w:rPr>
          <w:rFonts w:ascii="Bernard MT Condensed" w:hAnsi="Bernard MT Condensed" w:cs="Times New Roman"/>
          <w:sz w:val="24"/>
          <w:szCs w:val="24"/>
        </w:rPr>
        <w:t xml:space="preserve">Inflation </w:t>
      </w:r>
    </w:p>
    <w:p w14:paraId="1299974D" w14:textId="77777777" w:rsidR="0028280C" w:rsidRDefault="0028280C" w:rsidP="0028280C">
      <w:pPr>
        <w:pStyle w:val="NormalWeb"/>
        <w:jc w:val="both"/>
        <w:rPr>
          <w:sz w:val="22"/>
          <w:szCs w:val="22"/>
        </w:rPr>
      </w:pPr>
      <w:r>
        <w:rPr>
          <w:b/>
          <w:i/>
          <w:sz w:val="22"/>
          <w:szCs w:val="22"/>
        </w:rPr>
        <w:t>S’ag</w:t>
      </w:r>
      <w:r w:rsidRPr="00934BFC">
        <w:rPr>
          <w:b/>
          <w:i/>
          <w:sz w:val="22"/>
          <w:szCs w:val="22"/>
        </w:rPr>
        <w:t>issant de l’inflation</w:t>
      </w:r>
      <w:r w:rsidRPr="00DE1412">
        <w:rPr>
          <w:sz w:val="22"/>
          <w:szCs w:val="22"/>
        </w:rPr>
        <w:t>, sur la période 2010-2019, le Niger a enregistré un taux d’inflation moyen de 1%. En 2020, il a été estimé à 2,9% contre -2,5% en 2019, approchant ainsi le seuil Communautaire de l’UEMOA de 3%. La fermeture des frontières aériennes et terrestres a considérablement affecté la libre circulation des biens et services en 2020 et provoquant par la même occasion une accélération du taux d’inflation Cette maitrise du taux d’inflation s’explique en partie par les politiques gouvernementales adoptées ces dernières années, notamment la distribution gratuite de vivres aux populations les plus vulnérables à l’insécurité alimentaire, la vente de céréales à prix modéré et la stabilité des prix d’hydrocarbures</w:t>
      </w:r>
      <w:r w:rsidRPr="00DE1412">
        <w:rPr>
          <w:sz w:val="22"/>
          <w:szCs w:val="22"/>
        </w:rPr>
        <w:footnoteReference w:id="23"/>
      </w:r>
      <w:r w:rsidRPr="00DE1412">
        <w:rPr>
          <w:sz w:val="22"/>
          <w:szCs w:val="22"/>
        </w:rPr>
        <w:t>.</w:t>
      </w:r>
    </w:p>
    <w:p w14:paraId="294E0EDC" w14:textId="77777777" w:rsidR="0028280C" w:rsidRDefault="0028280C" w:rsidP="0028280C">
      <w:pPr>
        <w:pStyle w:val="NormalWeb"/>
        <w:jc w:val="both"/>
        <w:rPr>
          <w:sz w:val="22"/>
          <w:szCs w:val="22"/>
        </w:rPr>
      </w:pPr>
      <w:r>
        <w:rPr>
          <w:noProof/>
        </w:rPr>
        <w:lastRenderedPageBreak/>
        <w:drawing>
          <wp:inline distT="0" distB="0" distL="0" distR="0" wp14:anchorId="00C824B9" wp14:editId="19356CFB">
            <wp:extent cx="5760720" cy="2645869"/>
            <wp:effectExtent l="0" t="0" r="11430" b="2540"/>
            <wp:docPr id="4" name="Chart 2">
              <a:extLst xmlns:a="http://schemas.openxmlformats.org/drawingml/2006/main">
                <a:ext uri="{FF2B5EF4-FFF2-40B4-BE49-F238E27FC236}">
                  <a16:creationId xmlns:a16="http://schemas.microsoft.com/office/drawing/2014/main" id="{DD42CD71-22E0-43E2-98A4-F21511952EF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329CD601" w14:textId="77777777" w:rsidR="0028280C" w:rsidRPr="00D60714" w:rsidRDefault="0028280C" w:rsidP="0028280C">
      <w:pPr>
        <w:pStyle w:val="Paragraphedeliste"/>
        <w:numPr>
          <w:ilvl w:val="0"/>
          <w:numId w:val="14"/>
        </w:numPr>
        <w:rPr>
          <w:rFonts w:ascii="Bernard MT Condensed" w:hAnsi="Bernard MT Condensed" w:cs="Times New Roman"/>
          <w:sz w:val="24"/>
          <w:szCs w:val="24"/>
        </w:rPr>
      </w:pPr>
      <w:r w:rsidRPr="00D60714">
        <w:rPr>
          <w:rFonts w:ascii="Bernard MT Condensed" w:hAnsi="Bernard MT Condensed" w:cs="Times New Roman"/>
          <w:sz w:val="24"/>
          <w:szCs w:val="24"/>
        </w:rPr>
        <w:t>POLITIQUE MONETAIRE, INCLUSION FINANCIERE ET SOUTIEN A L’ECONOMIE</w:t>
      </w:r>
    </w:p>
    <w:p w14:paraId="45CAB429" w14:textId="749E52A6" w:rsidR="0028280C" w:rsidRPr="006B3AB7" w:rsidRDefault="0028280C" w:rsidP="0028280C">
      <w:pPr>
        <w:jc w:val="both"/>
        <w:rPr>
          <w:rFonts w:ascii="Times New Roman" w:hAnsi="Times New Roman" w:cs="Times New Roman"/>
        </w:rPr>
      </w:pPr>
      <w:r w:rsidRPr="006B3AB7">
        <w:rPr>
          <w:rFonts w:ascii="Times New Roman" w:hAnsi="Times New Roman" w:cs="Times New Roman"/>
        </w:rPr>
        <w:t xml:space="preserve">En tant que membre de l’UEMOA, la politique monétaire du Niger est largement influencée par celle adoptée par la Banque Centrale des États de l’Afrique de l’Ouest (BCEAO). Cette dernière tient compte des situations prévalant aux </w:t>
      </w:r>
      <w:r w:rsidR="00973BB5" w:rsidRPr="006B3AB7">
        <w:rPr>
          <w:rFonts w:ascii="Times New Roman" w:hAnsi="Times New Roman" w:cs="Times New Roman"/>
        </w:rPr>
        <w:t>niveau</w:t>
      </w:r>
      <w:r w:rsidR="00973BB5">
        <w:rPr>
          <w:rFonts w:ascii="Times New Roman" w:hAnsi="Times New Roman" w:cs="Times New Roman"/>
        </w:rPr>
        <w:t>x</w:t>
      </w:r>
      <w:r w:rsidR="00973BB5" w:rsidRPr="006B3AB7">
        <w:rPr>
          <w:rFonts w:ascii="Times New Roman" w:hAnsi="Times New Roman" w:cs="Times New Roman"/>
        </w:rPr>
        <w:t xml:space="preserve"> global</w:t>
      </w:r>
      <w:r w:rsidR="00973BB5">
        <w:rPr>
          <w:rFonts w:ascii="Times New Roman" w:hAnsi="Times New Roman" w:cs="Times New Roman"/>
        </w:rPr>
        <w:t>, sous régional et des pays de l</w:t>
      </w:r>
      <w:r w:rsidRPr="006B3AB7">
        <w:rPr>
          <w:rFonts w:ascii="Times New Roman" w:hAnsi="Times New Roman" w:cs="Times New Roman"/>
        </w:rPr>
        <w:t xml:space="preserve">a zone. Depuis l’entrée en vigueur de sa réforme institutionnelle de 2010, la BCEAO a retenu la stabilité des prix comme objectif principal de sa politique monétaire. Pour maintenir la stabilité des systèmes bancaires au début de la pandémie de Covid-19, la BCEAO a adopté une politique monétaire accommodante en baissant son taux directeur et par ricochet augmenter les liquidités aux banques commerciales. </w:t>
      </w:r>
    </w:p>
    <w:p w14:paraId="0C6E73E5" w14:textId="77777777" w:rsidR="0028280C" w:rsidRPr="006B3AB7" w:rsidRDefault="0028280C" w:rsidP="0028280C">
      <w:pPr>
        <w:jc w:val="both"/>
        <w:rPr>
          <w:rFonts w:ascii="Times New Roman" w:hAnsi="Times New Roman" w:cs="Times New Roman"/>
        </w:rPr>
      </w:pPr>
      <w:r w:rsidRPr="006B3AB7">
        <w:rPr>
          <w:rFonts w:ascii="Times New Roman" w:hAnsi="Times New Roman" w:cs="Times New Roman"/>
        </w:rPr>
        <w:t>Dans le cas du Niger, comparée à sa position de 2019, la masse monétaire M1 a augmenté de 15,3% en décembre 2020 pour s’établ</w:t>
      </w:r>
      <w:r>
        <w:rPr>
          <w:rFonts w:ascii="Times New Roman" w:hAnsi="Times New Roman" w:cs="Times New Roman"/>
        </w:rPr>
        <w:t>ir à 1184,1 milliards de FCFA. C</w:t>
      </w:r>
      <w:r w:rsidRPr="006B3AB7">
        <w:rPr>
          <w:rFonts w:ascii="Times New Roman" w:hAnsi="Times New Roman" w:cs="Times New Roman"/>
        </w:rPr>
        <w:t xml:space="preserve">et accroissement est dû en partie à la hausse des dépôts à vue et la monnaie fiduciaire respectivement de 20,9% et 9,9%. Quant à la masse monétaire élargie (M2), elle a </w:t>
      </w:r>
      <w:r>
        <w:rPr>
          <w:rFonts w:ascii="Times New Roman" w:hAnsi="Times New Roman" w:cs="Times New Roman"/>
        </w:rPr>
        <w:t>augmenté de 17,0%. C</w:t>
      </w:r>
      <w:r w:rsidRPr="006B3AB7">
        <w:rPr>
          <w:rFonts w:ascii="Times New Roman" w:hAnsi="Times New Roman" w:cs="Times New Roman"/>
        </w:rPr>
        <w:t>ependant, il est important de souligner que les actifs extérieurs nets du Niger ont baissé de 12,7%, avec notamment les baisses des actifs de la banque centrale et des institutions bancaires de -15,1% et -6,4%, respectivement.</w:t>
      </w:r>
    </w:p>
    <w:p w14:paraId="0460DA5B" w14:textId="34F8B1A2" w:rsidR="0028280C" w:rsidRPr="00421545" w:rsidRDefault="0028280C" w:rsidP="0028280C">
      <w:pPr>
        <w:jc w:val="both"/>
        <w:rPr>
          <w:rFonts w:ascii="Times New Roman" w:hAnsi="Times New Roman" w:cs="Times New Roman"/>
        </w:rPr>
      </w:pPr>
      <w:r>
        <w:rPr>
          <w:rFonts w:ascii="Times New Roman" w:hAnsi="Times New Roman" w:cs="Times New Roman"/>
        </w:rPr>
        <w:t>En ce qui concerne l’inclusion financière, a</w:t>
      </w:r>
      <w:r w:rsidRPr="00421545">
        <w:rPr>
          <w:rFonts w:ascii="Times New Roman" w:hAnsi="Times New Roman" w:cs="Times New Roman"/>
        </w:rPr>
        <w:t>vec une population de plus 24 millions d’habitants, le Niger est le pays le moins p</w:t>
      </w:r>
      <w:r w:rsidR="00973BB5">
        <w:rPr>
          <w:rFonts w:ascii="Times New Roman" w:hAnsi="Times New Roman" w:cs="Times New Roman"/>
        </w:rPr>
        <w:t>erformant dans l’espace UEMOA. L</w:t>
      </w:r>
      <w:r w:rsidRPr="00421545">
        <w:rPr>
          <w:rFonts w:ascii="Times New Roman" w:hAnsi="Times New Roman" w:cs="Times New Roman"/>
        </w:rPr>
        <w:t>es taux de bancarisation strict et élargi de 6,7% et 16,4% respectivement en 2019 restent relativement faibles et e</w:t>
      </w:r>
      <w:r>
        <w:rPr>
          <w:rFonts w:ascii="Times New Roman" w:hAnsi="Times New Roman" w:cs="Times New Roman"/>
        </w:rPr>
        <w:t xml:space="preserve">n dessous </w:t>
      </w:r>
      <w:r w:rsidRPr="00421545">
        <w:rPr>
          <w:rFonts w:ascii="Times New Roman" w:hAnsi="Times New Roman" w:cs="Times New Roman"/>
        </w:rPr>
        <w:t xml:space="preserve">des taux moyens de l’UEMOA de 18,0% et 39,6%. En outre, malgré </w:t>
      </w:r>
      <w:r>
        <w:rPr>
          <w:rFonts w:ascii="Times New Roman" w:hAnsi="Times New Roman" w:cs="Times New Roman"/>
        </w:rPr>
        <w:t xml:space="preserve">la réalisation d’un gain de </w:t>
      </w:r>
      <w:r w:rsidRPr="00421545">
        <w:rPr>
          <w:rFonts w:ascii="Times New Roman" w:hAnsi="Times New Roman" w:cs="Times New Roman"/>
        </w:rPr>
        <w:t xml:space="preserve">5,2 </w:t>
      </w:r>
      <w:r>
        <w:rPr>
          <w:rFonts w:ascii="Times New Roman" w:hAnsi="Times New Roman" w:cs="Times New Roman"/>
        </w:rPr>
        <w:t xml:space="preserve">% </w:t>
      </w:r>
      <w:r w:rsidRPr="00421545">
        <w:rPr>
          <w:rFonts w:ascii="Times New Roman" w:hAnsi="Times New Roman" w:cs="Times New Roman"/>
        </w:rPr>
        <w:t xml:space="preserve">de points entre 2015 et 2019, le taux global d’utilisation des services financiers pour les populations adultes de 15 ans et plus reste toujours faible. En 2019, pendant qu’approximativement 3 personnes sur 4 utilisaient les services financiers dans l’espace UEMOA, au Niger seule une personne sur 4 les utilise. La baisse des taux de l’accessibilité entre 2015 et 2019 est encore plus inquiétante pour un pays enclavé comme le Niger. Les taux de pénétration démographique (qui mesure la proximité des services financiers vis-à-vis des populations) et de pénétration géographique (mesure </w:t>
      </w:r>
      <w:r>
        <w:rPr>
          <w:rFonts w:ascii="Times New Roman" w:hAnsi="Times New Roman" w:cs="Times New Roman"/>
        </w:rPr>
        <w:t xml:space="preserve">du </w:t>
      </w:r>
      <w:r w:rsidRPr="00421545">
        <w:rPr>
          <w:rFonts w:ascii="Times New Roman" w:hAnsi="Times New Roman" w:cs="Times New Roman"/>
        </w:rPr>
        <w:t xml:space="preserve"> nombre de points de services disponibles sur une superficie de 1000 Km</w:t>
      </w:r>
      <w:r w:rsidRPr="00421545">
        <w:rPr>
          <w:rFonts w:ascii="Times New Roman" w:hAnsi="Times New Roman" w:cs="Times New Roman"/>
          <w:vertAlign w:val="superscript"/>
        </w:rPr>
        <w:t>2</w:t>
      </w:r>
      <w:r w:rsidRPr="00421545">
        <w:rPr>
          <w:rFonts w:ascii="Times New Roman" w:hAnsi="Times New Roman" w:cs="Times New Roman"/>
        </w:rPr>
        <w:t>) ont baissé en</w:t>
      </w:r>
      <w:r>
        <w:rPr>
          <w:rFonts w:ascii="Times New Roman" w:hAnsi="Times New Roman" w:cs="Times New Roman"/>
        </w:rPr>
        <w:t>tre 2015 et 2019 au lieu de progresser</w:t>
      </w:r>
      <w:r w:rsidRPr="00421545">
        <w:rPr>
          <w:rFonts w:ascii="Times New Roman" w:hAnsi="Times New Roman" w:cs="Times New Roman"/>
        </w:rPr>
        <w:t xml:space="preserve"> dans le sens inverse. Le taux global de pénétration démographique est passé de 37,3% en 2015 à 21,4% en 2019. Quant au taux global de pénétration géographique, il est passé de 27,4% à 18,4%.</w:t>
      </w:r>
    </w:p>
    <w:p w14:paraId="43C36C31" w14:textId="77777777" w:rsidR="00973BB5" w:rsidRDefault="0028280C" w:rsidP="0028280C">
      <w:pPr>
        <w:jc w:val="both"/>
        <w:rPr>
          <w:rFonts w:ascii="Times New Roman" w:hAnsi="Times New Roman" w:cs="Times New Roman"/>
        </w:rPr>
      </w:pPr>
      <w:r>
        <w:rPr>
          <w:rFonts w:ascii="Times New Roman" w:hAnsi="Times New Roman" w:cs="Times New Roman"/>
        </w:rPr>
        <w:t xml:space="preserve">Afin de promouvoir </w:t>
      </w:r>
      <w:r w:rsidRPr="00421545">
        <w:rPr>
          <w:rFonts w:ascii="Times New Roman" w:hAnsi="Times New Roman" w:cs="Times New Roman"/>
        </w:rPr>
        <w:t xml:space="preserve">une croissance tirée par un secteur privé plus dynamique et créateur d’emplois et </w:t>
      </w:r>
      <w:r>
        <w:rPr>
          <w:rFonts w:ascii="Times New Roman" w:hAnsi="Times New Roman" w:cs="Times New Roman"/>
        </w:rPr>
        <w:t>accroitre l’</w:t>
      </w:r>
      <w:r w:rsidRPr="00421545">
        <w:rPr>
          <w:rFonts w:ascii="Times New Roman" w:hAnsi="Times New Roman" w:cs="Times New Roman"/>
        </w:rPr>
        <w:t>attractivité</w:t>
      </w:r>
      <w:r>
        <w:rPr>
          <w:rFonts w:ascii="Times New Roman" w:hAnsi="Times New Roman" w:cs="Times New Roman"/>
        </w:rPr>
        <w:t xml:space="preserve"> du pays, le </w:t>
      </w:r>
      <w:r w:rsidRPr="00421545">
        <w:rPr>
          <w:rFonts w:ascii="Times New Roman" w:hAnsi="Times New Roman" w:cs="Times New Roman"/>
        </w:rPr>
        <w:t xml:space="preserve">secteur bancaire </w:t>
      </w:r>
      <w:r>
        <w:rPr>
          <w:rFonts w:ascii="Times New Roman" w:hAnsi="Times New Roman" w:cs="Times New Roman"/>
        </w:rPr>
        <w:t xml:space="preserve">doit être </w:t>
      </w:r>
      <w:r w:rsidRPr="00421545">
        <w:rPr>
          <w:rFonts w:ascii="Times New Roman" w:hAnsi="Times New Roman" w:cs="Times New Roman"/>
        </w:rPr>
        <w:t>plus performant. En plus d’avoir de faibles taux d’inclusion financière, l’environnement bancaire nigérien ne favorise pas l’accès au crédit pour le privé. Le graphique ci-dessous indique les taux moyens des crédits accordés aux banques et aussi aux entreprises individuelles de janvier 2019 à Décembre 2020</w:t>
      </w:r>
      <w:r>
        <w:rPr>
          <w:rFonts w:ascii="Times New Roman" w:hAnsi="Times New Roman" w:cs="Times New Roman"/>
        </w:rPr>
        <w:t xml:space="preserve"> qui ont varié e</w:t>
      </w:r>
      <w:r w:rsidRPr="00421545">
        <w:rPr>
          <w:rFonts w:ascii="Times New Roman" w:hAnsi="Times New Roman" w:cs="Times New Roman"/>
        </w:rPr>
        <w:t xml:space="preserve">ntre 7,4% et 10,6%. </w:t>
      </w:r>
    </w:p>
    <w:p w14:paraId="12A59773" w14:textId="3B1A738F" w:rsidR="0028280C" w:rsidRPr="00421545" w:rsidRDefault="0028280C" w:rsidP="0028280C">
      <w:pPr>
        <w:jc w:val="both"/>
        <w:rPr>
          <w:rFonts w:ascii="Times New Roman" w:hAnsi="Times New Roman" w:cs="Times New Roman"/>
        </w:rPr>
      </w:pPr>
      <w:r w:rsidRPr="00421545">
        <w:rPr>
          <w:rFonts w:ascii="Times New Roman" w:hAnsi="Times New Roman" w:cs="Times New Roman"/>
        </w:rPr>
        <w:lastRenderedPageBreak/>
        <w:t xml:space="preserve">Il est important de relever que le Niger a des taux moyen de crédits </w:t>
      </w:r>
      <w:r>
        <w:rPr>
          <w:rFonts w:ascii="Times New Roman" w:hAnsi="Times New Roman" w:cs="Times New Roman"/>
        </w:rPr>
        <w:t>aux</w:t>
      </w:r>
      <w:r w:rsidRPr="00421545">
        <w:rPr>
          <w:rFonts w:ascii="Times New Roman" w:hAnsi="Times New Roman" w:cs="Times New Roman"/>
        </w:rPr>
        <w:t xml:space="preserve"> entreprises individuelles </w:t>
      </w:r>
      <w:r>
        <w:rPr>
          <w:rFonts w:ascii="Times New Roman" w:hAnsi="Times New Roman" w:cs="Times New Roman"/>
        </w:rPr>
        <w:t xml:space="preserve">qui sont </w:t>
      </w:r>
      <w:r w:rsidRPr="00421545">
        <w:rPr>
          <w:rFonts w:ascii="Times New Roman" w:hAnsi="Times New Roman" w:cs="Times New Roman"/>
        </w:rPr>
        <w:t xml:space="preserve">au-dessus des moyennes communautaires de l’UEMOA. Ces taux élevés peuvent s’expliquer en partie par la structure oligopolistique du secteur bancaire du pays et sa forte concentration. En 2019, le système bancaire nigérien comprenait 14 banques avec un total de 160 agences et bureaux sur toute l’étendue du territoire. </w:t>
      </w:r>
    </w:p>
    <w:p w14:paraId="75AFC7B4" w14:textId="77777777" w:rsidR="0028280C" w:rsidRDefault="0028280C" w:rsidP="0028280C">
      <w:pPr>
        <w:rPr>
          <w:b/>
          <w:sz w:val="24"/>
          <w:szCs w:val="24"/>
          <w:u w:val="single"/>
        </w:rPr>
      </w:pPr>
      <w:r>
        <w:rPr>
          <w:noProof/>
          <w:lang w:eastAsia="fr-FR"/>
        </w:rPr>
        <w:drawing>
          <wp:inline distT="0" distB="0" distL="0" distR="0" wp14:anchorId="31A28D43" wp14:editId="44120B89">
            <wp:extent cx="5584825" cy="2374900"/>
            <wp:effectExtent l="0" t="0" r="15875" b="6350"/>
            <wp:docPr id="21" name="Graphique 21">
              <a:extLst xmlns:a="http://schemas.openxmlformats.org/drawingml/2006/main">
                <a:ext uri="{FF2B5EF4-FFF2-40B4-BE49-F238E27FC236}">
                  <a16:creationId xmlns:a16="http://schemas.microsoft.com/office/drawing/2014/main" id="{2F54DCFA-3FE0-4F82-8481-CE088A06907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7FE88D14" w14:textId="00D0140A" w:rsidR="0028280C" w:rsidRPr="00973BB5" w:rsidRDefault="0028280C" w:rsidP="0028280C">
      <w:pPr>
        <w:rPr>
          <w:rFonts w:ascii="Times New Roman" w:hAnsi="Times New Roman" w:cs="Times New Roman"/>
          <w:b/>
        </w:rPr>
      </w:pPr>
      <w:r w:rsidRPr="007952B8">
        <w:rPr>
          <w:rFonts w:ascii="Times New Roman" w:hAnsi="Times New Roman" w:cs="Times New Roman"/>
          <w:b/>
        </w:rPr>
        <w:t>Source : BCEAO</w:t>
      </w:r>
    </w:p>
    <w:p w14:paraId="17794668" w14:textId="77777777" w:rsidR="0028280C" w:rsidRPr="00121349" w:rsidRDefault="0028280C" w:rsidP="0028280C">
      <w:pPr>
        <w:rPr>
          <w:b/>
          <w:sz w:val="24"/>
          <w:szCs w:val="24"/>
          <w:u w:val="single"/>
        </w:rPr>
      </w:pPr>
    </w:p>
    <w:p w14:paraId="228ECD4A" w14:textId="77777777" w:rsidR="0028280C" w:rsidRPr="007952B8" w:rsidRDefault="0028280C" w:rsidP="0028280C">
      <w:pPr>
        <w:jc w:val="center"/>
        <w:rPr>
          <w:rFonts w:ascii="Times New Roman" w:hAnsi="Times New Roman" w:cs="Times New Roman"/>
          <w:b/>
          <w:u w:val="single"/>
        </w:rPr>
      </w:pPr>
      <w:r w:rsidRPr="007952B8">
        <w:rPr>
          <w:rFonts w:ascii="Times New Roman" w:hAnsi="Times New Roman" w:cs="Times New Roman"/>
          <w:b/>
          <w:u w:val="single"/>
        </w:rPr>
        <w:t>Tableau : Évolution des indicateurs sur l’inclusion financière au Niger (demande)</w:t>
      </w:r>
    </w:p>
    <w:tbl>
      <w:tblPr>
        <w:tblW w:w="10343" w:type="dxa"/>
        <w:tblLook w:val="04A0" w:firstRow="1" w:lastRow="0" w:firstColumn="1" w:lastColumn="0" w:noHBand="0" w:noVBand="1"/>
      </w:tblPr>
      <w:tblGrid>
        <w:gridCol w:w="8075"/>
        <w:gridCol w:w="1134"/>
        <w:gridCol w:w="1134"/>
      </w:tblGrid>
      <w:tr w:rsidR="0028280C" w14:paraId="188AD038" w14:textId="77777777" w:rsidTr="00E43F48">
        <w:tc>
          <w:tcPr>
            <w:tcW w:w="8075" w:type="dxa"/>
          </w:tcPr>
          <w:p w14:paraId="5B664AA0" w14:textId="77777777" w:rsidR="0028280C" w:rsidRPr="007952B8" w:rsidRDefault="0028280C" w:rsidP="00E43F48">
            <w:pPr>
              <w:rPr>
                <w:rFonts w:ascii="Times New Roman" w:hAnsi="Times New Roman" w:cs="Times New Roman"/>
                <w:b/>
              </w:rPr>
            </w:pPr>
            <w:r w:rsidRPr="007952B8">
              <w:rPr>
                <w:rFonts w:ascii="Times New Roman" w:hAnsi="Times New Roman" w:cs="Times New Roman"/>
                <w:b/>
              </w:rPr>
              <w:t>Indicateur</w:t>
            </w:r>
          </w:p>
        </w:tc>
        <w:tc>
          <w:tcPr>
            <w:tcW w:w="1134" w:type="dxa"/>
          </w:tcPr>
          <w:p w14:paraId="7E49C58C" w14:textId="77777777" w:rsidR="0028280C" w:rsidRPr="007952B8" w:rsidRDefault="0028280C" w:rsidP="00E43F48">
            <w:pPr>
              <w:rPr>
                <w:rFonts w:ascii="Times New Roman" w:hAnsi="Times New Roman" w:cs="Times New Roman"/>
                <w:b/>
              </w:rPr>
            </w:pPr>
            <w:r w:rsidRPr="007952B8">
              <w:rPr>
                <w:rFonts w:ascii="Times New Roman" w:hAnsi="Times New Roman" w:cs="Times New Roman"/>
                <w:b/>
              </w:rPr>
              <w:t>2015</w:t>
            </w:r>
          </w:p>
        </w:tc>
        <w:tc>
          <w:tcPr>
            <w:tcW w:w="1134" w:type="dxa"/>
          </w:tcPr>
          <w:p w14:paraId="6F2C7B80" w14:textId="77777777" w:rsidR="0028280C" w:rsidRPr="007952B8" w:rsidRDefault="0028280C" w:rsidP="00E43F48">
            <w:pPr>
              <w:rPr>
                <w:rFonts w:ascii="Times New Roman" w:hAnsi="Times New Roman" w:cs="Times New Roman"/>
                <w:b/>
              </w:rPr>
            </w:pPr>
            <w:r w:rsidRPr="007952B8">
              <w:rPr>
                <w:rFonts w:ascii="Times New Roman" w:hAnsi="Times New Roman" w:cs="Times New Roman"/>
                <w:b/>
              </w:rPr>
              <w:t>2019</w:t>
            </w:r>
          </w:p>
        </w:tc>
      </w:tr>
      <w:tr w:rsidR="0028280C" w14:paraId="0456EEC2" w14:textId="77777777" w:rsidTr="00E43F48">
        <w:tc>
          <w:tcPr>
            <w:tcW w:w="10343" w:type="dxa"/>
            <w:gridSpan w:val="3"/>
            <w:shd w:val="clear" w:color="auto" w:fill="FFC000"/>
          </w:tcPr>
          <w:p w14:paraId="2062AB6B" w14:textId="77777777" w:rsidR="0028280C" w:rsidRPr="00737B66" w:rsidRDefault="0028280C" w:rsidP="00E43F48">
            <w:pPr>
              <w:jc w:val="center"/>
              <w:rPr>
                <w:b/>
              </w:rPr>
            </w:pPr>
            <w:r>
              <w:rPr>
                <w:b/>
              </w:rPr>
              <w:t>NIGER</w:t>
            </w:r>
          </w:p>
        </w:tc>
      </w:tr>
      <w:tr w:rsidR="0028280C" w14:paraId="41D815EE" w14:textId="77777777" w:rsidTr="00E43F48">
        <w:tc>
          <w:tcPr>
            <w:tcW w:w="8075" w:type="dxa"/>
          </w:tcPr>
          <w:p w14:paraId="16123583"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Taux de pénétration démographique des services bancaires</w:t>
            </w:r>
          </w:p>
        </w:tc>
        <w:tc>
          <w:tcPr>
            <w:tcW w:w="1134" w:type="dxa"/>
          </w:tcPr>
          <w:p w14:paraId="539B9C6F"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0,32</w:t>
            </w:r>
          </w:p>
        </w:tc>
        <w:tc>
          <w:tcPr>
            <w:tcW w:w="1134" w:type="dxa"/>
          </w:tcPr>
          <w:p w14:paraId="13CD30DC"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0,42</w:t>
            </w:r>
          </w:p>
        </w:tc>
      </w:tr>
      <w:tr w:rsidR="0028280C" w14:paraId="20AB4D09" w14:textId="77777777" w:rsidTr="00E43F48">
        <w:tc>
          <w:tcPr>
            <w:tcW w:w="8075" w:type="dxa"/>
          </w:tcPr>
          <w:p w14:paraId="19CE132C" w14:textId="77777777" w:rsidR="0028280C" w:rsidRPr="00421545" w:rsidRDefault="0028280C" w:rsidP="00E43F48">
            <w:pPr>
              <w:pStyle w:val="Sansinterligne"/>
              <w:rPr>
                <w:rFonts w:ascii="Times New Roman" w:hAnsi="Times New Roman" w:cs="Times New Roman"/>
                <w:i/>
                <w:lang w:val="fr-FR"/>
              </w:rPr>
            </w:pPr>
            <w:r w:rsidRPr="00421545">
              <w:rPr>
                <w:rFonts w:ascii="Times New Roman" w:hAnsi="Times New Roman" w:cs="Times New Roman"/>
                <w:i/>
                <w:lang w:val="fr-FR"/>
              </w:rPr>
              <w:t>Taux de pénétration démographique des services de microfinance</w:t>
            </w:r>
          </w:p>
        </w:tc>
        <w:tc>
          <w:tcPr>
            <w:tcW w:w="1134" w:type="dxa"/>
          </w:tcPr>
          <w:p w14:paraId="11C22BF2"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0,18</w:t>
            </w:r>
          </w:p>
        </w:tc>
        <w:tc>
          <w:tcPr>
            <w:tcW w:w="1134" w:type="dxa"/>
          </w:tcPr>
          <w:p w14:paraId="611C95CA"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0,15</w:t>
            </w:r>
          </w:p>
        </w:tc>
      </w:tr>
      <w:tr w:rsidR="0028280C" w14:paraId="1C0A8855" w14:textId="77777777" w:rsidTr="00E43F48">
        <w:tc>
          <w:tcPr>
            <w:tcW w:w="8075" w:type="dxa"/>
          </w:tcPr>
          <w:p w14:paraId="66B72643" w14:textId="77777777" w:rsidR="0028280C" w:rsidRPr="00421545" w:rsidRDefault="0028280C" w:rsidP="00E43F48">
            <w:pPr>
              <w:pStyle w:val="Sansinterligne"/>
              <w:rPr>
                <w:rFonts w:ascii="Times New Roman" w:hAnsi="Times New Roman" w:cs="Times New Roman"/>
                <w:i/>
                <w:lang w:val="fr-FR"/>
              </w:rPr>
            </w:pPr>
            <w:r w:rsidRPr="00421545">
              <w:rPr>
                <w:rFonts w:ascii="Times New Roman" w:hAnsi="Times New Roman" w:cs="Times New Roman"/>
                <w:i/>
                <w:lang w:val="fr-FR"/>
              </w:rPr>
              <w:t>Taux de pénétration démographique des services de monnaie électronique</w:t>
            </w:r>
          </w:p>
        </w:tc>
        <w:tc>
          <w:tcPr>
            <w:tcW w:w="1134" w:type="dxa"/>
          </w:tcPr>
          <w:p w14:paraId="1B43C9EF"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36,7</w:t>
            </w:r>
          </w:p>
        </w:tc>
        <w:tc>
          <w:tcPr>
            <w:tcW w:w="1134" w:type="dxa"/>
          </w:tcPr>
          <w:p w14:paraId="12A69764"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20,7</w:t>
            </w:r>
          </w:p>
        </w:tc>
      </w:tr>
      <w:tr w:rsidR="0028280C" w14:paraId="78CCBFB3" w14:textId="77777777" w:rsidTr="00E43F48">
        <w:tc>
          <w:tcPr>
            <w:tcW w:w="8075" w:type="dxa"/>
          </w:tcPr>
          <w:p w14:paraId="5B1CF6C6"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Taux global de pénétration démographique des services financiers</w:t>
            </w:r>
          </w:p>
        </w:tc>
        <w:tc>
          <w:tcPr>
            <w:tcW w:w="1134" w:type="dxa"/>
          </w:tcPr>
          <w:p w14:paraId="0133F83A"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37,3</w:t>
            </w:r>
          </w:p>
        </w:tc>
        <w:tc>
          <w:tcPr>
            <w:tcW w:w="1134" w:type="dxa"/>
          </w:tcPr>
          <w:p w14:paraId="41C68AEF"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21,4</w:t>
            </w:r>
          </w:p>
        </w:tc>
      </w:tr>
      <w:tr w:rsidR="0028280C" w14:paraId="5A970374" w14:textId="77777777" w:rsidTr="00E43F48">
        <w:tc>
          <w:tcPr>
            <w:tcW w:w="8075" w:type="dxa"/>
          </w:tcPr>
          <w:p w14:paraId="61E32944"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Taux de pénétration géographique des services bancaires</w:t>
            </w:r>
          </w:p>
        </w:tc>
        <w:tc>
          <w:tcPr>
            <w:tcW w:w="1134" w:type="dxa"/>
          </w:tcPr>
          <w:p w14:paraId="62B2FDA0"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0,24</w:t>
            </w:r>
          </w:p>
        </w:tc>
        <w:tc>
          <w:tcPr>
            <w:tcW w:w="1134" w:type="dxa"/>
          </w:tcPr>
          <w:p w14:paraId="07B8E0DC"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0,36</w:t>
            </w:r>
          </w:p>
        </w:tc>
      </w:tr>
      <w:tr w:rsidR="0028280C" w14:paraId="4C6459BA" w14:textId="77777777" w:rsidTr="00E43F48">
        <w:tc>
          <w:tcPr>
            <w:tcW w:w="8075" w:type="dxa"/>
          </w:tcPr>
          <w:p w14:paraId="6E6C676F"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Taux de pénétration géographique des services de microfinance</w:t>
            </w:r>
          </w:p>
        </w:tc>
        <w:tc>
          <w:tcPr>
            <w:tcW w:w="1134" w:type="dxa"/>
          </w:tcPr>
          <w:p w14:paraId="4FC8F58D"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0,13</w:t>
            </w:r>
          </w:p>
        </w:tc>
        <w:tc>
          <w:tcPr>
            <w:tcW w:w="1134" w:type="dxa"/>
          </w:tcPr>
          <w:p w14:paraId="6B80EF2C"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0,13</w:t>
            </w:r>
          </w:p>
        </w:tc>
      </w:tr>
      <w:tr w:rsidR="0028280C" w14:paraId="61A4BC63" w14:textId="77777777" w:rsidTr="00E43F48">
        <w:tc>
          <w:tcPr>
            <w:tcW w:w="8075" w:type="dxa"/>
          </w:tcPr>
          <w:p w14:paraId="40D32064"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Taux de pénétration géographique des services de monnaie électronique</w:t>
            </w:r>
          </w:p>
        </w:tc>
        <w:tc>
          <w:tcPr>
            <w:tcW w:w="1134" w:type="dxa"/>
          </w:tcPr>
          <w:p w14:paraId="7E8E84C6"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26,9</w:t>
            </w:r>
          </w:p>
        </w:tc>
        <w:tc>
          <w:tcPr>
            <w:tcW w:w="1134" w:type="dxa"/>
          </w:tcPr>
          <w:p w14:paraId="3C88A813"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17,9</w:t>
            </w:r>
          </w:p>
        </w:tc>
      </w:tr>
      <w:tr w:rsidR="0028280C" w14:paraId="3785B7EF" w14:textId="77777777" w:rsidTr="00E43F48">
        <w:tc>
          <w:tcPr>
            <w:tcW w:w="8075" w:type="dxa"/>
          </w:tcPr>
          <w:p w14:paraId="07DC19DB"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Taux global de pénétration géographique des services financiers</w:t>
            </w:r>
          </w:p>
        </w:tc>
        <w:tc>
          <w:tcPr>
            <w:tcW w:w="1134" w:type="dxa"/>
          </w:tcPr>
          <w:p w14:paraId="21D88BA6"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27,4</w:t>
            </w:r>
          </w:p>
        </w:tc>
        <w:tc>
          <w:tcPr>
            <w:tcW w:w="1134" w:type="dxa"/>
          </w:tcPr>
          <w:p w14:paraId="0B7235C7"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18,4</w:t>
            </w:r>
          </w:p>
        </w:tc>
      </w:tr>
      <w:tr w:rsidR="0028280C" w14:paraId="5A3E4578" w14:textId="77777777" w:rsidTr="00E43F48">
        <w:tc>
          <w:tcPr>
            <w:tcW w:w="8075" w:type="dxa"/>
          </w:tcPr>
          <w:p w14:paraId="1FEE1ED9"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Taux de bancarisation strict (base population adulte : 15 ans et plus)</w:t>
            </w:r>
          </w:p>
        </w:tc>
        <w:tc>
          <w:tcPr>
            <w:tcW w:w="1134" w:type="dxa"/>
          </w:tcPr>
          <w:p w14:paraId="0D222834"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5,4</w:t>
            </w:r>
          </w:p>
        </w:tc>
        <w:tc>
          <w:tcPr>
            <w:tcW w:w="1134" w:type="dxa"/>
          </w:tcPr>
          <w:p w14:paraId="726CFD4C"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6,7</w:t>
            </w:r>
          </w:p>
        </w:tc>
      </w:tr>
      <w:tr w:rsidR="0028280C" w14:paraId="59D2928D" w14:textId="77777777" w:rsidTr="00E43F48">
        <w:tc>
          <w:tcPr>
            <w:tcW w:w="8075" w:type="dxa"/>
          </w:tcPr>
          <w:p w14:paraId="21FBE5FC"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Taux de bancarisation élargi (base population adulte : 15 ans et plus)</w:t>
            </w:r>
          </w:p>
        </w:tc>
        <w:tc>
          <w:tcPr>
            <w:tcW w:w="1134" w:type="dxa"/>
          </w:tcPr>
          <w:p w14:paraId="57B2C2C5"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16,7</w:t>
            </w:r>
          </w:p>
        </w:tc>
        <w:tc>
          <w:tcPr>
            <w:tcW w:w="1134" w:type="dxa"/>
          </w:tcPr>
          <w:p w14:paraId="7FE6F1AE"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16,4</w:t>
            </w:r>
          </w:p>
        </w:tc>
      </w:tr>
      <w:tr w:rsidR="0028280C" w14:paraId="2276A832" w14:textId="77777777" w:rsidTr="00E43F48">
        <w:tc>
          <w:tcPr>
            <w:tcW w:w="8075" w:type="dxa"/>
          </w:tcPr>
          <w:p w14:paraId="7E4D0C40"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Taux d'utilisation des services de monnaie électronique (base population adulte et nombre de comptes de monnaie électronique ouverts)</w:t>
            </w:r>
          </w:p>
        </w:tc>
        <w:tc>
          <w:tcPr>
            <w:tcW w:w="1134" w:type="dxa"/>
          </w:tcPr>
          <w:p w14:paraId="6CDBFC11"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6,3</w:t>
            </w:r>
          </w:p>
        </w:tc>
        <w:tc>
          <w:tcPr>
            <w:tcW w:w="1134" w:type="dxa"/>
          </w:tcPr>
          <w:p w14:paraId="4E620C17"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12,0</w:t>
            </w:r>
          </w:p>
        </w:tc>
      </w:tr>
      <w:tr w:rsidR="0028280C" w14:paraId="501FBD84" w14:textId="77777777" w:rsidTr="00E43F48">
        <w:tc>
          <w:tcPr>
            <w:tcW w:w="8075" w:type="dxa"/>
          </w:tcPr>
          <w:p w14:paraId="3D1F57D6"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Taux global d'utilisation de services financiers (base population adulte : 15 ans et plus)</w:t>
            </w:r>
          </w:p>
        </w:tc>
        <w:tc>
          <w:tcPr>
            <w:tcW w:w="1134" w:type="dxa"/>
          </w:tcPr>
          <w:p w14:paraId="76798621" w14:textId="77777777" w:rsidR="0028280C" w:rsidRPr="00421545" w:rsidRDefault="0028280C" w:rsidP="00E43F48">
            <w:pPr>
              <w:rPr>
                <w:rFonts w:ascii="Times New Roman" w:hAnsi="Times New Roman" w:cs="Times New Roman"/>
                <w:i/>
              </w:rPr>
            </w:pPr>
            <w:r w:rsidRPr="00421545">
              <w:rPr>
                <w:rFonts w:ascii="Times New Roman" w:hAnsi="Times New Roman" w:cs="Times New Roman"/>
                <w:i/>
              </w:rPr>
              <w:t>19,7</w:t>
            </w:r>
          </w:p>
        </w:tc>
        <w:tc>
          <w:tcPr>
            <w:tcW w:w="1134" w:type="dxa"/>
          </w:tcPr>
          <w:p w14:paraId="499D6400" w14:textId="77777777" w:rsidR="0028280C" w:rsidRDefault="0028280C" w:rsidP="00E43F48">
            <w:pPr>
              <w:rPr>
                <w:rFonts w:ascii="Times New Roman" w:hAnsi="Times New Roman" w:cs="Times New Roman"/>
                <w:i/>
              </w:rPr>
            </w:pPr>
            <w:r w:rsidRPr="00421545">
              <w:rPr>
                <w:rFonts w:ascii="Times New Roman" w:hAnsi="Times New Roman" w:cs="Times New Roman"/>
                <w:i/>
              </w:rPr>
              <w:t>24,9</w:t>
            </w:r>
          </w:p>
          <w:p w14:paraId="2F1B9494" w14:textId="77777777" w:rsidR="00973BB5" w:rsidRPr="00421545" w:rsidRDefault="00973BB5" w:rsidP="00E43F48">
            <w:pPr>
              <w:rPr>
                <w:rFonts w:ascii="Times New Roman" w:hAnsi="Times New Roman" w:cs="Times New Roman"/>
                <w:i/>
              </w:rPr>
            </w:pPr>
          </w:p>
        </w:tc>
      </w:tr>
      <w:tr w:rsidR="0028280C" w14:paraId="2C0C1521" w14:textId="77777777" w:rsidTr="00E43F48">
        <w:tc>
          <w:tcPr>
            <w:tcW w:w="10343" w:type="dxa"/>
            <w:gridSpan w:val="3"/>
            <w:shd w:val="clear" w:color="auto" w:fill="FFFF00"/>
          </w:tcPr>
          <w:p w14:paraId="6CB6634B" w14:textId="77777777" w:rsidR="0028280C" w:rsidRPr="00351849" w:rsidRDefault="0028280C" w:rsidP="00E43F48">
            <w:pPr>
              <w:jc w:val="center"/>
              <w:rPr>
                <w:b/>
              </w:rPr>
            </w:pPr>
            <w:r w:rsidRPr="00351849">
              <w:rPr>
                <w:b/>
              </w:rPr>
              <w:lastRenderedPageBreak/>
              <w:t>UEMOA</w:t>
            </w:r>
          </w:p>
        </w:tc>
      </w:tr>
      <w:tr w:rsidR="0028280C" w14:paraId="3FF20D8C" w14:textId="77777777" w:rsidTr="00E43F48">
        <w:tc>
          <w:tcPr>
            <w:tcW w:w="8075" w:type="dxa"/>
          </w:tcPr>
          <w:p w14:paraId="66936795" w14:textId="77777777" w:rsidR="0028280C" w:rsidRPr="007952B8" w:rsidRDefault="0028280C" w:rsidP="00E43F48">
            <w:pPr>
              <w:rPr>
                <w:rFonts w:ascii="Times New Roman" w:hAnsi="Times New Roman" w:cs="Times New Roman"/>
                <w:i/>
              </w:rPr>
            </w:pPr>
            <w:r w:rsidRPr="007952B8">
              <w:rPr>
                <w:rFonts w:ascii="Times New Roman" w:hAnsi="Times New Roman" w:cs="Times New Roman"/>
                <w:i/>
              </w:rPr>
              <w:t>Taux de bancarisation strict (base population adulte : 15 ans et plus)</w:t>
            </w:r>
          </w:p>
        </w:tc>
        <w:tc>
          <w:tcPr>
            <w:tcW w:w="1134" w:type="dxa"/>
          </w:tcPr>
          <w:p w14:paraId="3FF99BBE" w14:textId="77777777" w:rsidR="0028280C" w:rsidRPr="007952B8" w:rsidRDefault="0028280C" w:rsidP="00E43F48">
            <w:pPr>
              <w:rPr>
                <w:rFonts w:ascii="Times New Roman" w:hAnsi="Times New Roman" w:cs="Times New Roman"/>
                <w:i/>
              </w:rPr>
            </w:pPr>
            <w:r w:rsidRPr="007952B8">
              <w:rPr>
                <w:rFonts w:ascii="Times New Roman" w:hAnsi="Times New Roman" w:cs="Times New Roman"/>
                <w:i/>
              </w:rPr>
              <w:t>15,4</w:t>
            </w:r>
          </w:p>
        </w:tc>
        <w:tc>
          <w:tcPr>
            <w:tcW w:w="1134" w:type="dxa"/>
          </w:tcPr>
          <w:p w14:paraId="65D88EFB" w14:textId="77777777" w:rsidR="0028280C" w:rsidRPr="007952B8" w:rsidRDefault="0028280C" w:rsidP="00E43F48">
            <w:pPr>
              <w:rPr>
                <w:rFonts w:ascii="Times New Roman" w:hAnsi="Times New Roman" w:cs="Times New Roman"/>
                <w:i/>
              </w:rPr>
            </w:pPr>
            <w:r w:rsidRPr="007952B8">
              <w:rPr>
                <w:rFonts w:ascii="Times New Roman" w:hAnsi="Times New Roman" w:cs="Times New Roman"/>
                <w:i/>
              </w:rPr>
              <w:t>18,0</w:t>
            </w:r>
          </w:p>
        </w:tc>
      </w:tr>
      <w:tr w:rsidR="0028280C" w14:paraId="1A543E2F" w14:textId="77777777" w:rsidTr="00E43F48">
        <w:tc>
          <w:tcPr>
            <w:tcW w:w="8075" w:type="dxa"/>
          </w:tcPr>
          <w:p w14:paraId="43FE8FF2" w14:textId="77777777" w:rsidR="0028280C" w:rsidRPr="007952B8" w:rsidRDefault="0028280C" w:rsidP="00E43F48">
            <w:pPr>
              <w:rPr>
                <w:rFonts w:ascii="Times New Roman" w:hAnsi="Times New Roman" w:cs="Times New Roman"/>
                <w:i/>
              </w:rPr>
            </w:pPr>
            <w:r w:rsidRPr="007952B8">
              <w:rPr>
                <w:rFonts w:ascii="Times New Roman" w:hAnsi="Times New Roman" w:cs="Times New Roman"/>
                <w:i/>
              </w:rPr>
              <w:t>Taux de bancarisation élargi (base population adulte : 15 ans et plus)</w:t>
            </w:r>
          </w:p>
        </w:tc>
        <w:tc>
          <w:tcPr>
            <w:tcW w:w="1134" w:type="dxa"/>
          </w:tcPr>
          <w:p w14:paraId="17E519D2" w14:textId="77777777" w:rsidR="0028280C" w:rsidRPr="007952B8" w:rsidRDefault="0028280C" w:rsidP="00E43F48">
            <w:pPr>
              <w:rPr>
                <w:rFonts w:ascii="Times New Roman" w:hAnsi="Times New Roman" w:cs="Times New Roman"/>
                <w:i/>
              </w:rPr>
            </w:pPr>
            <w:r w:rsidRPr="007952B8">
              <w:rPr>
                <w:rFonts w:ascii="Times New Roman" w:hAnsi="Times New Roman" w:cs="Times New Roman"/>
                <w:i/>
              </w:rPr>
              <w:t>33,8</w:t>
            </w:r>
          </w:p>
        </w:tc>
        <w:tc>
          <w:tcPr>
            <w:tcW w:w="1134" w:type="dxa"/>
          </w:tcPr>
          <w:p w14:paraId="4B1C5E23" w14:textId="77777777" w:rsidR="0028280C" w:rsidRPr="007952B8" w:rsidRDefault="0028280C" w:rsidP="00E43F48">
            <w:pPr>
              <w:rPr>
                <w:rFonts w:ascii="Times New Roman" w:hAnsi="Times New Roman" w:cs="Times New Roman"/>
                <w:i/>
              </w:rPr>
            </w:pPr>
            <w:r w:rsidRPr="007952B8">
              <w:rPr>
                <w:rFonts w:ascii="Times New Roman" w:hAnsi="Times New Roman" w:cs="Times New Roman"/>
                <w:i/>
              </w:rPr>
              <w:t>39,6</w:t>
            </w:r>
          </w:p>
        </w:tc>
      </w:tr>
      <w:tr w:rsidR="0028280C" w14:paraId="4BE24DDB" w14:textId="77777777" w:rsidTr="00E43F48">
        <w:tc>
          <w:tcPr>
            <w:tcW w:w="8075" w:type="dxa"/>
          </w:tcPr>
          <w:p w14:paraId="2CE23FE8" w14:textId="77777777" w:rsidR="0028280C" w:rsidRPr="007952B8" w:rsidRDefault="0028280C" w:rsidP="00E43F48">
            <w:pPr>
              <w:rPr>
                <w:rFonts w:ascii="Times New Roman" w:hAnsi="Times New Roman" w:cs="Times New Roman"/>
                <w:i/>
              </w:rPr>
            </w:pPr>
            <w:r w:rsidRPr="007952B8">
              <w:rPr>
                <w:rFonts w:ascii="Times New Roman" w:hAnsi="Times New Roman" w:cs="Times New Roman"/>
                <w:i/>
              </w:rPr>
              <w:t>Taux global d'utilisation de services financiers (base population adulte : 15 ans et plus)</w:t>
            </w:r>
          </w:p>
        </w:tc>
        <w:tc>
          <w:tcPr>
            <w:tcW w:w="1134" w:type="dxa"/>
          </w:tcPr>
          <w:p w14:paraId="7EBA6EE9" w14:textId="77777777" w:rsidR="0028280C" w:rsidRPr="007952B8" w:rsidRDefault="0028280C" w:rsidP="00E43F48">
            <w:pPr>
              <w:rPr>
                <w:rFonts w:ascii="Times New Roman" w:hAnsi="Times New Roman" w:cs="Times New Roman"/>
                <w:i/>
              </w:rPr>
            </w:pPr>
            <w:r w:rsidRPr="007952B8">
              <w:rPr>
                <w:rFonts w:ascii="Times New Roman" w:hAnsi="Times New Roman" w:cs="Times New Roman"/>
                <w:i/>
              </w:rPr>
              <w:t>54,0</w:t>
            </w:r>
          </w:p>
        </w:tc>
        <w:tc>
          <w:tcPr>
            <w:tcW w:w="1134" w:type="dxa"/>
          </w:tcPr>
          <w:p w14:paraId="513DD35C" w14:textId="77777777" w:rsidR="0028280C" w:rsidRPr="007952B8" w:rsidRDefault="0028280C" w:rsidP="00E43F48">
            <w:pPr>
              <w:rPr>
                <w:rFonts w:ascii="Times New Roman" w:hAnsi="Times New Roman" w:cs="Times New Roman"/>
                <w:i/>
              </w:rPr>
            </w:pPr>
            <w:r w:rsidRPr="007952B8">
              <w:rPr>
                <w:rFonts w:ascii="Times New Roman" w:hAnsi="Times New Roman" w:cs="Times New Roman"/>
                <w:i/>
              </w:rPr>
              <w:t>71,6</w:t>
            </w:r>
          </w:p>
        </w:tc>
      </w:tr>
    </w:tbl>
    <w:p w14:paraId="1F5A099D" w14:textId="5F210DCA" w:rsidR="0028280C" w:rsidRDefault="00EA4DC3" w:rsidP="00EA4DC3">
      <w:pPr>
        <w:rPr>
          <w:rFonts w:ascii="Times New Roman" w:hAnsi="Times New Roman" w:cs="Times New Roman"/>
          <w:b/>
        </w:rPr>
      </w:pPr>
      <w:r>
        <w:rPr>
          <w:rFonts w:ascii="Times New Roman" w:hAnsi="Times New Roman" w:cs="Times New Roman"/>
          <w:b/>
        </w:rPr>
        <w:t>Source : BCEAO</w:t>
      </w:r>
    </w:p>
    <w:p w14:paraId="36123FD3" w14:textId="77777777" w:rsidR="00973BB5" w:rsidRPr="00EA4DC3" w:rsidRDefault="00973BB5" w:rsidP="00EA4DC3">
      <w:pPr>
        <w:rPr>
          <w:rFonts w:ascii="Times New Roman" w:hAnsi="Times New Roman" w:cs="Times New Roman"/>
          <w:b/>
        </w:rPr>
      </w:pPr>
    </w:p>
    <w:p w14:paraId="5C2F9743" w14:textId="77777777" w:rsidR="0028280C" w:rsidRPr="00E25B1F" w:rsidRDefault="0028280C" w:rsidP="00E25B1F">
      <w:pPr>
        <w:pStyle w:val="Titre4"/>
        <w:rPr>
          <w:rFonts w:ascii="Bernard MT Condensed" w:hAnsi="Bernard MT Condensed"/>
          <w:sz w:val="24"/>
          <w:szCs w:val="24"/>
        </w:rPr>
      </w:pPr>
      <w:r w:rsidRPr="00E25B1F">
        <w:rPr>
          <w:rFonts w:ascii="Bernard MT Condensed" w:hAnsi="Bernard MT Condensed"/>
          <w:sz w:val="24"/>
          <w:szCs w:val="24"/>
        </w:rPr>
        <w:t xml:space="preserve">I.3.6.5 - Finances publiques </w:t>
      </w:r>
    </w:p>
    <w:p w14:paraId="5A89BD7C" w14:textId="77777777" w:rsidR="00973BB5" w:rsidRDefault="0028280C" w:rsidP="0028280C">
      <w:pPr>
        <w:pStyle w:val="NormalWeb"/>
        <w:jc w:val="both"/>
        <w:rPr>
          <w:sz w:val="22"/>
          <w:szCs w:val="22"/>
        </w:rPr>
      </w:pPr>
      <w:r w:rsidRPr="00FE389F">
        <w:rPr>
          <w:sz w:val="22"/>
          <w:szCs w:val="22"/>
        </w:rPr>
        <w:t xml:space="preserve">En ce qui concerne </w:t>
      </w:r>
      <w:r w:rsidRPr="00934BFC">
        <w:rPr>
          <w:b/>
          <w:i/>
          <w:sz w:val="22"/>
          <w:szCs w:val="22"/>
        </w:rPr>
        <w:t>les finances publiques</w:t>
      </w:r>
      <w:r w:rsidRPr="00FE389F">
        <w:rPr>
          <w:sz w:val="22"/>
          <w:szCs w:val="22"/>
        </w:rPr>
        <w:t>, à cause de la forte domination du secteur informel, l’espace fiscal reste très limité</w:t>
      </w:r>
      <w:r w:rsidRPr="008A6225">
        <w:rPr>
          <w:sz w:val="22"/>
          <w:szCs w:val="22"/>
        </w:rPr>
        <w:t xml:space="preserve"> </w:t>
      </w:r>
      <w:r>
        <w:rPr>
          <w:sz w:val="22"/>
          <w:szCs w:val="22"/>
        </w:rPr>
        <w:t>notamment à</w:t>
      </w:r>
      <w:r w:rsidR="00973BB5">
        <w:rPr>
          <w:sz w:val="22"/>
          <w:szCs w:val="22"/>
        </w:rPr>
        <w:t xml:space="preserve"> cause du</w:t>
      </w:r>
      <w:r>
        <w:rPr>
          <w:sz w:val="22"/>
          <w:szCs w:val="22"/>
        </w:rPr>
        <w:t xml:space="preserve"> faible taux de recouvrement</w:t>
      </w:r>
      <w:r w:rsidRPr="00FE389F">
        <w:rPr>
          <w:sz w:val="22"/>
          <w:szCs w:val="22"/>
        </w:rPr>
        <w:t xml:space="preserve">. En 2019, le ministère des finances a estimé le ratio des recettes fiscales au PIB (taux de pression fiscale) à 15%, bien en deçà du critère de convergence de l’UEMOA fixé à 20%. En outre, les recettes fiscales demeurent imprévisibles. Elles ont enregistré une baisse moyenne de 3% entre 2015 et 2017, mais ont été en hausse de 27,4% et 7% respectivement en 2018 et 2019. Selon le ministère des </w:t>
      </w:r>
      <w:r w:rsidRPr="00FE389F">
        <w:rPr>
          <w:noProof/>
          <w:sz w:val="22"/>
          <w:szCs w:val="22"/>
        </w:rPr>
        <mc:AlternateContent>
          <mc:Choice Requires="wps">
            <w:drawing>
              <wp:anchor distT="45720" distB="45720" distL="114300" distR="114300" simplePos="0" relativeHeight="251660288" behindDoc="0" locked="0" layoutInCell="1" allowOverlap="1" wp14:anchorId="03514DD8" wp14:editId="612402C7">
                <wp:simplePos x="0" y="0"/>
                <wp:positionH relativeFrom="margin">
                  <wp:posOffset>2806700</wp:posOffset>
                </wp:positionH>
                <wp:positionV relativeFrom="paragraph">
                  <wp:posOffset>0</wp:posOffset>
                </wp:positionV>
                <wp:extent cx="3498850" cy="2967990"/>
                <wp:effectExtent l="0" t="0" r="6350" b="3810"/>
                <wp:wrapSquare wrapText="bothSides"/>
                <wp:docPr id="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8850" cy="2967990"/>
                        </a:xfrm>
                        <a:prstGeom prst="rect">
                          <a:avLst/>
                        </a:prstGeom>
                        <a:solidFill>
                          <a:srgbClr val="FFFFFF"/>
                        </a:solidFill>
                        <a:ln w="9525">
                          <a:noFill/>
                          <a:miter lim="800000"/>
                          <a:headEnd/>
                          <a:tailEnd/>
                        </a:ln>
                      </wps:spPr>
                      <wps:txbx>
                        <w:txbxContent>
                          <w:p w14:paraId="4CA1FA19" w14:textId="77777777" w:rsidR="00E02FE2" w:rsidRPr="00007563" w:rsidRDefault="00E02FE2" w:rsidP="0028280C">
                            <w:pPr>
                              <w:spacing w:after="120"/>
                              <w:rPr>
                                <w:b/>
                                <w:sz w:val="16"/>
                                <w:szCs w:val="16"/>
                              </w:rPr>
                            </w:pPr>
                            <w:r w:rsidRPr="00007563">
                              <w:rPr>
                                <w:b/>
                                <w:sz w:val="16"/>
                                <w:szCs w:val="16"/>
                              </w:rPr>
                              <w:t>Graphique 1 : recettes, dépenses totales et déficit budgétaire du Niger (2019-2026)</w:t>
                            </w:r>
                          </w:p>
                          <w:p w14:paraId="7D0467C5" w14:textId="77777777" w:rsidR="00E02FE2" w:rsidRPr="003C3768" w:rsidRDefault="00E02FE2" w:rsidP="0028280C">
                            <w:pPr>
                              <w:rPr>
                                <w:b/>
                                <w:sz w:val="12"/>
                                <w:szCs w:val="12"/>
                              </w:rPr>
                            </w:pPr>
                            <w:r w:rsidRPr="006920A5">
                              <w:rPr>
                                <w:noProof/>
                                <w:lang w:eastAsia="fr-FR"/>
                              </w:rPr>
                              <w:drawing>
                                <wp:inline distT="0" distB="0" distL="0" distR="0" wp14:anchorId="1CAB1D39" wp14:editId="6B8CD4F8">
                                  <wp:extent cx="3329583" cy="2186609"/>
                                  <wp:effectExtent l="0" t="0" r="4445" b="4445"/>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343589" cy="2195807"/>
                                          </a:xfrm>
                                          <a:prstGeom prst="rect">
                                            <a:avLst/>
                                          </a:prstGeom>
                                          <a:noFill/>
                                          <a:ln>
                                            <a:noFill/>
                                          </a:ln>
                                        </pic:spPr>
                                      </pic:pic>
                                    </a:graphicData>
                                  </a:graphic>
                                </wp:inline>
                              </w:drawing>
                            </w:r>
                          </w:p>
                          <w:p w14:paraId="2D0DF6D7" w14:textId="77777777" w:rsidR="00E02FE2" w:rsidRDefault="00E02FE2" w:rsidP="0028280C">
                            <w:pPr>
                              <w:jc w:val="both"/>
                            </w:pPr>
                            <w:r w:rsidRPr="003C3768">
                              <w:rPr>
                                <w:rFonts w:eastAsia="Times New Roman"/>
                                <w:b/>
                                <w:sz w:val="16"/>
                                <w:szCs w:val="16"/>
                              </w:rPr>
                              <w:t>Source : à partir des données du FMI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514DD8" id="_x0000_s1027" type="#_x0000_t202" style="position:absolute;left:0;text-align:left;margin-left:221pt;margin-top:0;width:275.5pt;height:233.7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" stroked="f">
                <v:textbox>
                  <w:txbxContent>
                    <w:p w14:paraId="4CA1FA19" w14:textId="77777777" w:rsidR="00E02FE2" w:rsidRPr="00007563" w:rsidRDefault="00E02FE2" w:rsidP="0028280C">
                      <w:pPr>
                        <w:spacing w:after="120"/>
                        <w:rPr>
                          <w:b/>
                          <w:sz w:val="16"/>
                          <w:szCs w:val="16"/>
                        </w:rPr>
                      </w:pPr>
                      <w:r w:rsidRPr="00007563">
                        <w:rPr>
                          <w:b/>
                          <w:sz w:val="16"/>
                          <w:szCs w:val="16"/>
                        </w:rPr>
                        <w:t>Graphique 1 : recettes, dépenses totales et déficit budgétaire du Niger (2019-2026)</w:t>
                      </w:r>
                    </w:p>
                    <w:p w14:paraId="7D0467C5" w14:textId="77777777" w:rsidR="00E02FE2" w:rsidRPr="003C3768" w:rsidRDefault="00E02FE2" w:rsidP="0028280C">
                      <w:pPr>
                        <w:rPr>
                          <w:b/>
                          <w:sz w:val="12"/>
                          <w:szCs w:val="12"/>
                        </w:rPr>
                      </w:pPr>
                      <w:r w:rsidRPr="006920A5">
                        <w:rPr>
                          <w:noProof/>
                          <w:lang w:eastAsia="fr-FR"/>
                        </w:rPr>
                        <w:drawing>
                          <wp:inline distT="0" distB="0" distL="0" distR="0" wp14:anchorId="1CAB1D39" wp14:editId="6B8CD4F8">
                            <wp:extent cx="3329583" cy="2186609"/>
                            <wp:effectExtent l="0" t="0" r="4445" b="4445"/>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343589" cy="2195807"/>
                                    </a:xfrm>
                                    <a:prstGeom prst="rect">
                                      <a:avLst/>
                                    </a:prstGeom>
                                    <a:noFill/>
                                    <a:ln>
                                      <a:noFill/>
                                    </a:ln>
                                  </pic:spPr>
                                </pic:pic>
                              </a:graphicData>
                            </a:graphic>
                          </wp:inline>
                        </w:drawing>
                      </w:r>
                    </w:p>
                    <w:p w14:paraId="2D0DF6D7" w14:textId="77777777" w:rsidR="00E02FE2" w:rsidRDefault="00E02FE2" w:rsidP="0028280C">
                      <w:pPr>
                        <w:jc w:val="both"/>
                      </w:pPr>
                      <w:r w:rsidRPr="003C3768">
                        <w:rPr>
                          <w:rFonts w:eastAsia="Times New Roman"/>
                          <w:b/>
                          <w:sz w:val="16"/>
                          <w:szCs w:val="16"/>
                        </w:rPr>
                        <w:t>Source : à partir des données du FMI</w:t>
                      </w:r>
                    </w:p>
                  </w:txbxContent>
                </v:textbox>
                <w10:wrap type="square" anchorx="margin"/>
              </v:shape>
            </w:pict>
          </mc:Fallback>
        </mc:AlternateContent>
      </w:r>
      <w:r w:rsidRPr="00FE389F">
        <w:rPr>
          <w:sz w:val="22"/>
          <w:szCs w:val="22"/>
        </w:rPr>
        <w:t xml:space="preserve">finances, la forte progression enregistrée en 2018 est principalement liée aux réformes visant l’élargissement de l’assiette et la révision des taux d’imposition. </w:t>
      </w:r>
      <w:r w:rsidRPr="007952B8">
        <w:rPr>
          <w:sz w:val="22"/>
          <w:szCs w:val="22"/>
        </w:rPr>
        <w:t xml:space="preserve">Par ailleurs, </w:t>
      </w:r>
      <w:r>
        <w:rPr>
          <w:sz w:val="22"/>
          <w:szCs w:val="22"/>
        </w:rPr>
        <w:t xml:space="preserve">si on </w:t>
      </w:r>
      <w:r w:rsidRPr="007952B8">
        <w:rPr>
          <w:sz w:val="22"/>
          <w:szCs w:val="22"/>
        </w:rPr>
        <w:t>analyse la str</w:t>
      </w:r>
      <w:r>
        <w:rPr>
          <w:sz w:val="22"/>
          <w:szCs w:val="22"/>
        </w:rPr>
        <w:t xml:space="preserve">ucture fiscale des recettes, on </w:t>
      </w:r>
      <w:r w:rsidRPr="007952B8">
        <w:rPr>
          <w:sz w:val="22"/>
          <w:szCs w:val="22"/>
        </w:rPr>
        <w:t>observe en 201</w:t>
      </w:r>
      <w:r>
        <w:rPr>
          <w:sz w:val="22"/>
          <w:szCs w:val="22"/>
        </w:rPr>
        <w:t xml:space="preserve">8 que 43% des recettes fiscales </w:t>
      </w:r>
      <w:r w:rsidRPr="007952B8">
        <w:rPr>
          <w:sz w:val="22"/>
          <w:szCs w:val="22"/>
        </w:rPr>
        <w:t xml:space="preserve">proviennent </w:t>
      </w:r>
      <w:r>
        <w:rPr>
          <w:sz w:val="22"/>
          <w:szCs w:val="22"/>
        </w:rPr>
        <w:t xml:space="preserve">de la TVA et 23% des impôts sur </w:t>
      </w:r>
      <w:r w:rsidRPr="007952B8">
        <w:rPr>
          <w:sz w:val="22"/>
          <w:szCs w:val="22"/>
        </w:rPr>
        <w:t>les biens et serv</w:t>
      </w:r>
      <w:r>
        <w:rPr>
          <w:sz w:val="22"/>
          <w:szCs w:val="22"/>
        </w:rPr>
        <w:t xml:space="preserve">ices. Les recettes fiscales </w:t>
      </w:r>
      <w:r w:rsidRPr="007952B8">
        <w:rPr>
          <w:sz w:val="22"/>
          <w:szCs w:val="22"/>
        </w:rPr>
        <w:t>proviennent prin</w:t>
      </w:r>
      <w:r>
        <w:rPr>
          <w:sz w:val="22"/>
          <w:szCs w:val="22"/>
        </w:rPr>
        <w:t xml:space="preserve">cipalement des taxes indirectes </w:t>
      </w:r>
      <w:r w:rsidRPr="007952B8">
        <w:rPr>
          <w:sz w:val="22"/>
          <w:szCs w:val="22"/>
        </w:rPr>
        <w:t>et régressives qu</w:t>
      </w:r>
      <w:r>
        <w:rPr>
          <w:sz w:val="22"/>
          <w:szCs w:val="22"/>
        </w:rPr>
        <w:t xml:space="preserve">i reposent sur les </w:t>
      </w:r>
      <w:r w:rsidRPr="007952B8">
        <w:rPr>
          <w:sz w:val="22"/>
          <w:szCs w:val="22"/>
        </w:rPr>
        <w:t>consommat</w:t>
      </w:r>
      <w:r>
        <w:rPr>
          <w:sz w:val="22"/>
          <w:szCs w:val="22"/>
        </w:rPr>
        <w:t xml:space="preserve">eurs et les petites et moyennes </w:t>
      </w:r>
      <w:r w:rsidRPr="007952B8">
        <w:rPr>
          <w:sz w:val="22"/>
          <w:szCs w:val="22"/>
        </w:rPr>
        <w:t>entreprises</w:t>
      </w:r>
      <w:r w:rsidR="00973BB5">
        <w:rPr>
          <w:sz w:val="22"/>
          <w:szCs w:val="22"/>
        </w:rPr>
        <w:t>. P</w:t>
      </w:r>
      <w:r>
        <w:rPr>
          <w:sz w:val="22"/>
          <w:szCs w:val="22"/>
        </w:rPr>
        <w:t xml:space="preserve">lus de 60% des ressources de </w:t>
      </w:r>
      <w:r w:rsidRPr="007952B8">
        <w:rPr>
          <w:sz w:val="22"/>
          <w:szCs w:val="22"/>
        </w:rPr>
        <w:t>l’État provienne</w:t>
      </w:r>
      <w:r>
        <w:rPr>
          <w:sz w:val="22"/>
          <w:szCs w:val="22"/>
        </w:rPr>
        <w:t xml:space="preserve">nt des impôts indirects. Ainsi, </w:t>
      </w:r>
      <w:r w:rsidRPr="007952B8">
        <w:rPr>
          <w:sz w:val="22"/>
          <w:szCs w:val="22"/>
        </w:rPr>
        <w:t>les personne</w:t>
      </w:r>
      <w:r>
        <w:rPr>
          <w:sz w:val="22"/>
          <w:szCs w:val="22"/>
        </w:rPr>
        <w:t xml:space="preserve">s vivant dans des conditions de </w:t>
      </w:r>
      <w:r w:rsidRPr="007952B8">
        <w:rPr>
          <w:sz w:val="22"/>
          <w:szCs w:val="22"/>
        </w:rPr>
        <w:t>pauvreté qu</w:t>
      </w:r>
      <w:r>
        <w:rPr>
          <w:sz w:val="22"/>
          <w:szCs w:val="22"/>
        </w:rPr>
        <w:t xml:space="preserve">i sont la grande majorité de la </w:t>
      </w:r>
      <w:r w:rsidR="00973BB5">
        <w:rPr>
          <w:sz w:val="22"/>
          <w:szCs w:val="22"/>
        </w:rPr>
        <w:t>population s</w:t>
      </w:r>
      <w:r w:rsidRPr="007952B8">
        <w:rPr>
          <w:sz w:val="22"/>
          <w:szCs w:val="22"/>
        </w:rPr>
        <w:t>ont les plus durement touchées par cette taxe, car elles consacren</w:t>
      </w:r>
      <w:r>
        <w:rPr>
          <w:sz w:val="22"/>
          <w:szCs w:val="22"/>
        </w:rPr>
        <w:t xml:space="preserve">t une plus grande part de leurs </w:t>
      </w:r>
      <w:r w:rsidRPr="007952B8">
        <w:rPr>
          <w:sz w:val="22"/>
          <w:szCs w:val="22"/>
        </w:rPr>
        <w:t>revenus aux produits de base et disposent de mo</w:t>
      </w:r>
      <w:r w:rsidR="0009466B">
        <w:rPr>
          <w:sz w:val="22"/>
          <w:szCs w:val="22"/>
        </w:rPr>
        <w:t>ins de revenus pour payer d’</w:t>
      </w:r>
      <w:r w:rsidR="00973BB5">
        <w:rPr>
          <w:sz w:val="22"/>
          <w:szCs w:val="22"/>
        </w:rPr>
        <w:t>autres produits</w:t>
      </w:r>
      <w:r>
        <w:rPr>
          <w:sz w:val="22"/>
          <w:szCs w:val="22"/>
        </w:rPr>
        <w:t xml:space="preserve">, ce qui </w:t>
      </w:r>
      <w:r w:rsidRPr="007952B8">
        <w:rPr>
          <w:sz w:val="22"/>
          <w:szCs w:val="22"/>
        </w:rPr>
        <w:t xml:space="preserve">impacte la réalisation </w:t>
      </w:r>
      <w:r w:rsidR="00973BB5">
        <w:rPr>
          <w:sz w:val="22"/>
          <w:szCs w:val="22"/>
        </w:rPr>
        <w:t>de l’ODD 10</w:t>
      </w:r>
      <w:r w:rsidRPr="007952B8">
        <w:rPr>
          <w:sz w:val="22"/>
          <w:szCs w:val="22"/>
        </w:rPr>
        <w:t>.</w:t>
      </w:r>
      <w:r>
        <w:rPr>
          <w:sz w:val="22"/>
          <w:szCs w:val="22"/>
        </w:rPr>
        <w:t xml:space="preserve"> </w:t>
      </w:r>
    </w:p>
    <w:p w14:paraId="28CACD44" w14:textId="5085595B" w:rsidR="0028280C" w:rsidRPr="00FE389F" w:rsidRDefault="0028280C" w:rsidP="0028280C">
      <w:pPr>
        <w:pStyle w:val="NormalWeb"/>
        <w:jc w:val="both"/>
        <w:rPr>
          <w:sz w:val="22"/>
          <w:szCs w:val="22"/>
        </w:rPr>
      </w:pPr>
      <w:r w:rsidRPr="00FE389F">
        <w:rPr>
          <w:sz w:val="22"/>
          <w:szCs w:val="22"/>
        </w:rPr>
        <w:t>Le graphique 1 ci-contre fournit une estimation des recettes et des dépenses totales du Niger entre 2019 et 2026. Sur la période, on constate une progression continue des recettes totales largement annihilées par les dépenses totales. Le déficit budgétaire (dons inclus) s’est ainsi accru en 2020, passant de 3,6% du PIB à 5,7% en 2020. Les dépenses liées à la sécurité, la crise sanitaire de Covid-19 et la prise en charge des besoins urgents des familles les plus vulnérables, les charges salariales dans les secteurs sociaux, l’organisation des élections présidentielles et législatives et les investissements dans les infrastructures économiques ont contribué à l’accroissement des dépenses publiques, tandis que les recettes fiscales ont connu une baisse par rapport aux prévisions initiales. En outre, il faut souligner que l</w:t>
      </w:r>
      <w:r w:rsidR="00973BB5">
        <w:rPr>
          <w:sz w:val="22"/>
          <w:szCs w:val="22"/>
        </w:rPr>
        <w:t xml:space="preserve">e Niger a graduellement assaini </w:t>
      </w:r>
      <w:r w:rsidRPr="00FE389F">
        <w:rPr>
          <w:sz w:val="22"/>
          <w:szCs w:val="22"/>
        </w:rPr>
        <w:t>ses finances et aussi entrepris des réformes profondes visant</w:t>
      </w:r>
      <w:r w:rsidR="00973BB5">
        <w:rPr>
          <w:sz w:val="22"/>
          <w:szCs w:val="22"/>
        </w:rPr>
        <w:t xml:space="preserve"> à accroitre l’assiette fiscale.</w:t>
      </w:r>
      <w:r w:rsidRPr="00FE389F">
        <w:rPr>
          <w:sz w:val="22"/>
          <w:szCs w:val="22"/>
        </w:rPr>
        <w:t xml:space="preserve"> Cela a abouti à une baisse du déficit budgétaire entre 2015 et 2018, passant de 66,7% du PIB à 3% du PIB en 2018.  </w:t>
      </w:r>
    </w:p>
    <w:p w14:paraId="07318113" w14:textId="77777777" w:rsidR="0028280C" w:rsidRDefault="0028280C" w:rsidP="0028280C">
      <w:pPr>
        <w:pStyle w:val="NormalWeb"/>
        <w:jc w:val="both"/>
        <w:rPr>
          <w:sz w:val="22"/>
          <w:szCs w:val="22"/>
        </w:rPr>
      </w:pPr>
      <w:r>
        <w:rPr>
          <w:noProof/>
        </w:rPr>
        <w:lastRenderedPageBreak/>
        <w:drawing>
          <wp:inline distT="0" distB="0" distL="0" distR="0" wp14:anchorId="3D8B65AF" wp14:editId="27C8CFCE">
            <wp:extent cx="5054600" cy="2273300"/>
            <wp:effectExtent l="0" t="0" r="12700" b="12700"/>
            <wp:docPr id="14" name="Graphique 14">
              <a:extLst xmlns:a="http://schemas.openxmlformats.org/drawingml/2006/main">
                <a:ext uri="{FF2B5EF4-FFF2-40B4-BE49-F238E27FC236}">
                  <a16:creationId xmlns:a16="http://schemas.microsoft.com/office/drawing/2014/main" id="{9F612EC4-9DCA-4118-A24E-B7F4AA9BB84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r w:rsidRPr="00942660">
        <w:rPr>
          <w:sz w:val="22"/>
          <w:szCs w:val="22"/>
        </w:rPr>
        <w:t xml:space="preserve"> </w:t>
      </w:r>
    </w:p>
    <w:p w14:paraId="11316170" w14:textId="53924AE5" w:rsidR="0028280C" w:rsidRPr="00942660" w:rsidRDefault="0028280C" w:rsidP="0028280C">
      <w:pPr>
        <w:pStyle w:val="NormalWeb"/>
        <w:jc w:val="both"/>
        <w:rPr>
          <w:sz w:val="22"/>
          <w:szCs w:val="22"/>
        </w:rPr>
      </w:pPr>
      <w:r w:rsidRPr="00942660">
        <w:rPr>
          <w:sz w:val="22"/>
          <w:szCs w:val="22"/>
        </w:rPr>
        <w:t>Selon les projections du FMI sur la dette publique du Niger présentées sur le graphique 2 ci-dessous, son encours sera en constante augmentation entre 2019 et 2026. Il passe</w:t>
      </w:r>
      <w:r>
        <w:rPr>
          <w:sz w:val="22"/>
          <w:szCs w:val="22"/>
        </w:rPr>
        <w:t>ra</w:t>
      </w:r>
      <w:r w:rsidRPr="00942660">
        <w:rPr>
          <w:sz w:val="22"/>
          <w:szCs w:val="22"/>
        </w:rPr>
        <w:t xml:space="preserve"> de 2718,4 milliards de</w:t>
      </w:r>
      <w:r w:rsidR="00973BB5">
        <w:rPr>
          <w:sz w:val="22"/>
          <w:szCs w:val="22"/>
        </w:rPr>
        <w:t xml:space="preserve"> FCFA (5,1 milliards </w:t>
      </w:r>
      <w:r w:rsidRPr="00942660">
        <w:rPr>
          <w:sz w:val="22"/>
          <w:szCs w:val="22"/>
        </w:rPr>
        <w:t xml:space="preserve"> </w:t>
      </w:r>
      <w:r w:rsidR="00973BB5">
        <w:rPr>
          <w:sz w:val="22"/>
          <w:szCs w:val="22"/>
        </w:rPr>
        <w:t xml:space="preserve">$ </w:t>
      </w:r>
      <w:r w:rsidRPr="00942660">
        <w:rPr>
          <w:sz w:val="22"/>
          <w:szCs w:val="22"/>
        </w:rPr>
        <w:t>USD) en 2019, à 3187,8 mil</w:t>
      </w:r>
      <w:r w:rsidR="00973BB5">
        <w:rPr>
          <w:sz w:val="22"/>
          <w:szCs w:val="22"/>
        </w:rPr>
        <w:t>liards de FCFA (5,9 milliards $</w:t>
      </w:r>
      <w:r w:rsidRPr="00942660">
        <w:rPr>
          <w:sz w:val="22"/>
          <w:szCs w:val="22"/>
        </w:rPr>
        <w:t xml:space="preserve"> USD) en 2020 pour atteindre 5125,8 milliards de FCFA (9,5 milliards de USD) en 2026. </w:t>
      </w:r>
    </w:p>
    <w:p w14:paraId="2E73CD9F" w14:textId="082A9951" w:rsidR="0028280C" w:rsidRPr="00942660" w:rsidRDefault="0028280C" w:rsidP="0028280C">
      <w:pPr>
        <w:pStyle w:val="NormalWeb"/>
        <w:jc w:val="both"/>
        <w:rPr>
          <w:sz w:val="22"/>
          <w:szCs w:val="22"/>
        </w:rPr>
      </w:pPr>
      <w:r w:rsidRPr="00942660">
        <w:rPr>
          <w:noProof/>
          <w:sz w:val="22"/>
          <w:szCs w:val="22"/>
        </w:rPr>
        <mc:AlternateContent>
          <mc:Choice Requires="wps">
            <w:drawing>
              <wp:anchor distT="45720" distB="45720" distL="114300" distR="114300" simplePos="0" relativeHeight="251661312" behindDoc="0" locked="0" layoutInCell="1" allowOverlap="1" wp14:anchorId="5DD8D485" wp14:editId="625DE57B">
                <wp:simplePos x="0" y="0"/>
                <wp:positionH relativeFrom="margin">
                  <wp:align>right</wp:align>
                </wp:positionH>
                <wp:positionV relativeFrom="paragraph">
                  <wp:posOffset>6985</wp:posOffset>
                </wp:positionV>
                <wp:extent cx="3444240" cy="2811780"/>
                <wp:effectExtent l="0" t="0" r="3810" b="7620"/>
                <wp:wrapSquare wrapText="bothSides"/>
                <wp:docPr id="1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4240" cy="2811780"/>
                        </a:xfrm>
                        <a:prstGeom prst="rect">
                          <a:avLst/>
                        </a:prstGeom>
                        <a:solidFill>
                          <a:srgbClr val="FFFFFF"/>
                        </a:solidFill>
                        <a:ln w="9525">
                          <a:noFill/>
                          <a:miter lim="800000"/>
                          <a:headEnd/>
                          <a:tailEnd/>
                        </a:ln>
                      </wps:spPr>
                      <wps:txbx>
                        <w:txbxContent>
                          <w:p w14:paraId="60CA89B1" w14:textId="77777777" w:rsidR="00E02FE2" w:rsidRPr="001069F4" w:rsidRDefault="00E02FE2" w:rsidP="0028280C">
                            <w:pPr>
                              <w:spacing w:after="120"/>
                              <w:jc w:val="both"/>
                              <w:rPr>
                                <w:rFonts w:eastAsia="Times New Roman"/>
                                <w:b/>
                                <w:sz w:val="16"/>
                                <w:szCs w:val="16"/>
                              </w:rPr>
                            </w:pPr>
                            <w:r w:rsidRPr="001069F4">
                              <w:rPr>
                                <w:rFonts w:eastAsia="Times New Roman"/>
                                <w:b/>
                                <w:sz w:val="16"/>
                                <w:szCs w:val="16"/>
                              </w:rPr>
                              <w:t>Graphique 2 : évolution de l’encours de la dette et de sa proportion au PIB (</w:t>
                            </w:r>
                            <w:r w:rsidRPr="001069F4">
                              <w:rPr>
                                <w:b/>
                                <w:sz w:val="16"/>
                                <w:szCs w:val="16"/>
                              </w:rPr>
                              <w:t>2019-2026)</w:t>
                            </w:r>
                          </w:p>
                          <w:p w14:paraId="551137DF" w14:textId="77777777" w:rsidR="00E02FE2" w:rsidRDefault="00E02FE2" w:rsidP="0028280C">
                            <w:pPr>
                              <w:jc w:val="both"/>
                              <w:rPr>
                                <w:rFonts w:eastAsia="Times New Roman"/>
                                <w:b/>
                              </w:rPr>
                            </w:pPr>
                            <w:r w:rsidRPr="00E15DFB">
                              <w:rPr>
                                <w:rFonts w:eastAsia="Times New Roman"/>
                                <w:b/>
                                <w:noProof/>
                                <w:lang w:eastAsia="fr-FR"/>
                              </w:rPr>
                              <w:drawing>
                                <wp:inline distT="0" distB="0" distL="0" distR="0" wp14:anchorId="14D30FF4" wp14:editId="0017BFD0">
                                  <wp:extent cx="3265170" cy="2103120"/>
                                  <wp:effectExtent l="0" t="0" r="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379737" cy="2176913"/>
                                          </a:xfrm>
                                          <a:prstGeom prst="rect">
                                            <a:avLst/>
                                          </a:prstGeom>
                                          <a:noFill/>
                                          <a:ln>
                                            <a:noFill/>
                                          </a:ln>
                                        </pic:spPr>
                                      </pic:pic>
                                    </a:graphicData>
                                  </a:graphic>
                                </wp:inline>
                              </w:drawing>
                            </w:r>
                          </w:p>
                          <w:p w14:paraId="1099476C" w14:textId="77777777" w:rsidR="00E02FE2" w:rsidRDefault="00E02FE2" w:rsidP="0028280C">
                            <w:pPr>
                              <w:jc w:val="both"/>
                            </w:pPr>
                            <w:r w:rsidRPr="001069F4">
                              <w:rPr>
                                <w:rFonts w:eastAsia="Times New Roman"/>
                                <w:b/>
                                <w:sz w:val="16"/>
                                <w:szCs w:val="16"/>
                              </w:rPr>
                              <w:t>Source : à partir des données du FMI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D8D485" id="_x0000_s1028" type="#_x0000_t202" style="position:absolute;left:0;text-align:left;margin-left:220pt;margin-top:.55pt;width:271.2pt;height:221.4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" stroked="f">
                <v:textbox>
                  <w:txbxContent>
                    <w:p w14:paraId="60CA89B1" w14:textId="77777777" w:rsidR="00E02FE2" w:rsidRPr="001069F4" w:rsidRDefault="00E02FE2" w:rsidP="0028280C">
                      <w:pPr>
                        <w:spacing w:after="120"/>
                        <w:jc w:val="both"/>
                        <w:rPr>
                          <w:rFonts w:eastAsia="Times New Roman"/>
                          <w:b/>
                          <w:sz w:val="16"/>
                          <w:szCs w:val="16"/>
                        </w:rPr>
                      </w:pPr>
                      <w:r w:rsidRPr="001069F4">
                        <w:rPr>
                          <w:rFonts w:eastAsia="Times New Roman"/>
                          <w:b/>
                          <w:sz w:val="16"/>
                          <w:szCs w:val="16"/>
                        </w:rPr>
                        <w:t>Graphique 2 : évolution de l’encours de la dette et de sa proportion au PIB (</w:t>
                      </w:r>
                      <w:r w:rsidRPr="001069F4">
                        <w:rPr>
                          <w:b/>
                          <w:sz w:val="16"/>
                          <w:szCs w:val="16"/>
                        </w:rPr>
                        <w:t>2019-2026)</w:t>
                      </w:r>
                    </w:p>
                    <w:p w14:paraId="551137DF" w14:textId="77777777" w:rsidR="00E02FE2" w:rsidRDefault="00E02FE2" w:rsidP="0028280C">
                      <w:pPr>
                        <w:jc w:val="both"/>
                        <w:rPr>
                          <w:rFonts w:eastAsia="Times New Roman"/>
                          <w:b/>
                        </w:rPr>
                      </w:pPr>
                      <w:r w:rsidRPr="00E15DFB">
                        <w:rPr>
                          <w:rFonts w:eastAsia="Times New Roman"/>
                          <w:b/>
                          <w:noProof/>
                          <w:lang w:eastAsia="fr-FR"/>
                        </w:rPr>
                        <w:drawing>
                          <wp:inline distT="0" distB="0" distL="0" distR="0" wp14:anchorId="14D30FF4" wp14:editId="0017BFD0">
                            <wp:extent cx="3265170" cy="2103120"/>
                            <wp:effectExtent l="0" t="0" r="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379737" cy="2176913"/>
                                    </a:xfrm>
                                    <a:prstGeom prst="rect">
                                      <a:avLst/>
                                    </a:prstGeom>
                                    <a:noFill/>
                                    <a:ln>
                                      <a:noFill/>
                                    </a:ln>
                                  </pic:spPr>
                                </pic:pic>
                              </a:graphicData>
                            </a:graphic>
                          </wp:inline>
                        </w:drawing>
                      </w:r>
                    </w:p>
                    <w:p w14:paraId="1099476C" w14:textId="77777777" w:rsidR="00E02FE2" w:rsidRDefault="00E02FE2" w:rsidP="0028280C">
                      <w:pPr>
                        <w:jc w:val="both"/>
                      </w:pPr>
                      <w:r w:rsidRPr="001069F4">
                        <w:rPr>
                          <w:rFonts w:eastAsia="Times New Roman"/>
                          <w:b/>
                          <w:sz w:val="16"/>
                          <w:szCs w:val="16"/>
                        </w:rPr>
                        <w:t>Source : à partir des données du FMI</w:t>
                      </w:r>
                    </w:p>
                  </w:txbxContent>
                </v:textbox>
                <w10:wrap type="square" anchorx="margin"/>
              </v:shape>
            </w:pict>
          </mc:Fallback>
        </mc:AlternateContent>
      </w:r>
      <w:r w:rsidRPr="00942660">
        <w:rPr>
          <w:sz w:val="22"/>
          <w:szCs w:val="22"/>
        </w:rPr>
        <w:t xml:space="preserve">Mesurée en proportion du PIB, on constate une augmentation brutale en 2020 à 40,5%, contre 35,9% </w:t>
      </w:r>
      <w:r w:rsidR="00973BB5">
        <w:rPr>
          <w:sz w:val="22"/>
          <w:szCs w:val="22"/>
        </w:rPr>
        <w:t>en</w:t>
      </w:r>
      <w:r w:rsidRPr="00942660">
        <w:rPr>
          <w:sz w:val="22"/>
          <w:szCs w:val="22"/>
        </w:rPr>
        <w:t xml:space="preserve"> 2019, avant d’atteindre son maximum en 2021 (41,1%). A partir de 2022, la courbe de la dette amorcera une pente descendante qui </w:t>
      </w:r>
      <w:r w:rsidR="00973BB5">
        <w:rPr>
          <w:sz w:val="22"/>
          <w:szCs w:val="22"/>
        </w:rPr>
        <w:t xml:space="preserve">devrait </w:t>
      </w:r>
      <w:r w:rsidR="00C11F40">
        <w:rPr>
          <w:sz w:val="22"/>
          <w:szCs w:val="22"/>
        </w:rPr>
        <w:t>ramener</w:t>
      </w:r>
      <w:r w:rsidRPr="00942660">
        <w:rPr>
          <w:sz w:val="22"/>
          <w:szCs w:val="22"/>
        </w:rPr>
        <w:t xml:space="preserve"> le ratio de la dette au PIB à 36,1% en 2026.</w:t>
      </w:r>
    </w:p>
    <w:p w14:paraId="2BA40EA0" w14:textId="735DA6E1" w:rsidR="0028280C" w:rsidRPr="00656098" w:rsidRDefault="0028280C" w:rsidP="0028280C">
      <w:pPr>
        <w:pStyle w:val="NormalWeb"/>
        <w:jc w:val="both"/>
        <w:rPr>
          <w:sz w:val="22"/>
          <w:szCs w:val="22"/>
        </w:rPr>
      </w:pPr>
      <w:r w:rsidRPr="00656098">
        <w:rPr>
          <w:sz w:val="22"/>
          <w:szCs w:val="22"/>
        </w:rPr>
        <w:t>Malgré sa tendance haussière sur la période 2012-2020, passant de 14,8% à 43,4% du PIB, la dette publique nigérienne reste relativement stable et modérée en dessous de la norme communautaire de 60%. L’étude de soutenabilité de la Banque Mondiale a révélé que le risque d’endettement reste modéré. Selon une note d’analyse du FMI produite en novembre 2020, dans le cadre de la sixième revue pour la facilité élargie de crédit, la stabilité de la dette à moyen et long-termes du Niger à un niveau viable, serait dû à l'assainissement budgétaire à partir de 2022, favorisé par l'augmentation des recettes pétrolières, et à une croissa</w:t>
      </w:r>
      <w:r w:rsidR="00973BB5">
        <w:rPr>
          <w:sz w:val="22"/>
          <w:szCs w:val="22"/>
        </w:rPr>
        <w:t>nce solide du PIB, qui s'établirait</w:t>
      </w:r>
      <w:r w:rsidRPr="00656098">
        <w:rPr>
          <w:sz w:val="22"/>
          <w:szCs w:val="22"/>
        </w:rPr>
        <w:t xml:space="preserve"> en moyenne à 6,5 % sur l'horizon de projection. Il convient de signaler que la dette extérieure du Niger est relativement plus élevée que la dette intérieure qui a connu une augmentation considérable ces dernières années, passant de 2,7</w:t>
      </w:r>
      <w:r>
        <w:rPr>
          <w:sz w:val="22"/>
          <w:szCs w:val="22"/>
        </w:rPr>
        <w:t xml:space="preserve">% du PIB en 2013 à 15,9% du PIB. </w:t>
      </w:r>
      <w:r w:rsidRPr="00942660">
        <w:rPr>
          <w:sz w:val="22"/>
          <w:szCs w:val="22"/>
        </w:rPr>
        <w:t>Les autorités sont déterminées à réduire le déficit primaire en améliorant la mobilisation des recettes intérieures, l'efficacité et le contrôle des dépenses. Selon le FMI, le récent rééquilibrage du financement budgétaire des sources intérieures vers les sources extérieures n'affecte pas de manière significative la trajectoire de la dette publique totale car les coûts d'intérêt, y compris les frais, sont similaires. L'avantage réside plutôt dans l'allongement des échéances, qui a réduit le</w:t>
      </w:r>
      <w:r w:rsidR="002237DD">
        <w:rPr>
          <w:sz w:val="22"/>
          <w:szCs w:val="22"/>
        </w:rPr>
        <w:t>s risques de refinancement sur l</w:t>
      </w:r>
      <w:r w:rsidRPr="00942660">
        <w:rPr>
          <w:sz w:val="22"/>
          <w:szCs w:val="22"/>
        </w:rPr>
        <w:t>es marchés régionaux parfois capricieux.</w:t>
      </w:r>
    </w:p>
    <w:p w14:paraId="4FD1DD00" w14:textId="77777777" w:rsidR="0028280C" w:rsidRDefault="0028280C" w:rsidP="0028280C">
      <w:pPr>
        <w:pStyle w:val="NormalWeb"/>
        <w:jc w:val="both"/>
        <w:rPr>
          <w:sz w:val="22"/>
          <w:szCs w:val="22"/>
        </w:rPr>
      </w:pPr>
      <w:r>
        <w:rPr>
          <w:noProof/>
        </w:rPr>
        <w:lastRenderedPageBreak/>
        <w:drawing>
          <wp:inline distT="0" distB="0" distL="0" distR="0" wp14:anchorId="4739807E" wp14:editId="04032F54">
            <wp:extent cx="5699126" cy="2743200"/>
            <wp:effectExtent l="0" t="0" r="15875" b="0"/>
            <wp:docPr id="15" name="Graphique 15">
              <a:extLst xmlns:a="http://schemas.openxmlformats.org/drawingml/2006/main">
                <a:ext uri="{FF2B5EF4-FFF2-40B4-BE49-F238E27FC236}">
                  <a16:creationId xmlns:a16="http://schemas.microsoft.com/office/drawing/2014/main" id="{6F3AA448-4738-4048-BC1E-204A0671C27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411830C7" w14:textId="77777777" w:rsidR="0028280C" w:rsidRDefault="0028280C" w:rsidP="0028280C">
      <w:pPr>
        <w:jc w:val="both"/>
        <w:rPr>
          <w:rFonts w:ascii="Times New Roman" w:hAnsi="Times New Roman" w:cs="Times New Roman"/>
        </w:rPr>
      </w:pPr>
      <w:r w:rsidRPr="007952B8">
        <w:rPr>
          <w:rFonts w:ascii="Times New Roman" w:hAnsi="Times New Roman" w:cs="Times New Roman"/>
        </w:rPr>
        <w:t>Le Niger a bénéficié de l’initiative de suspension du service de la dette initié</w:t>
      </w:r>
      <w:r>
        <w:rPr>
          <w:rFonts w:ascii="Times New Roman" w:hAnsi="Times New Roman" w:cs="Times New Roman"/>
        </w:rPr>
        <w:t>e en mai 2020, à la suite de la c</w:t>
      </w:r>
      <w:r w:rsidRPr="007952B8">
        <w:rPr>
          <w:rFonts w:ascii="Times New Roman" w:hAnsi="Times New Roman" w:cs="Times New Roman"/>
        </w:rPr>
        <w:t xml:space="preserve">rise de la pandémie de Covid-19 et de la Facilité de crédit rapide pour aider le pays à </w:t>
      </w:r>
      <w:r>
        <w:rPr>
          <w:rFonts w:ascii="Times New Roman" w:hAnsi="Times New Roman" w:cs="Times New Roman"/>
        </w:rPr>
        <w:t>faire face à la</w:t>
      </w:r>
      <w:r w:rsidRPr="007952B8">
        <w:rPr>
          <w:rFonts w:ascii="Times New Roman" w:hAnsi="Times New Roman" w:cs="Times New Roman"/>
        </w:rPr>
        <w:t xml:space="preserve"> pandémie. Le FMI a ainsi approuvé le décaissement de 114,49 millions de dol</w:t>
      </w:r>
      <w:r>
        <w:rPr>
          <w:rFonts w:ascii="Times New Roman" w:hAnsi="Times New Roman" w:cs="Times New Roman"/>
        </w:rPr>
        <w:t xml:space="preserve">lars (83,66 millions de DTS) au </w:t>
      </w:r>
      <w:r w:rsidRPr="007952B8">
        <w:rPr>
          <w:rFonts w:ascii="Times New Roman" w:hAnsi="Times New Roman" w:cs="Times New Roman"/>
        </w:rPr>
        <w:t>titre de la Facilité de crédit rapide. Il est à noter que, avant la crise de la</w:t>
      </w:r>
      <w:r>
        <w:rPr>
          <w:rFonts w:ascii="Times New Roman" w:hAnsi="Times New Roman" w:cs="Times New Roman"/>
        </w:rPr>
        <w:t xml:space="preserve"> pandémie, le Niger a également </w:t>
      </w:r>
      <w:r w:rsidRPr="007952B8">
        <w:rPr>
          <w:rFonts w:ascii="Times New Roman" w:hAnsi="Times New Roman" w:cs="Times New Roman"/>
        </w:rPr>
        <w:t>bénéficié d’un accord triennal de Facilité de crédit en 2017 avec le FM</w:t>
      </w:r>
      <w:r>
        <w:rPr>
          <w:rFonts w:ascii="Times New Roman" w:hAnsi="Times New Roman" w:cs="Times New Roman"/>
        </w:rPr>
        <w:t xml:space="preserve">I avec un programme de réformes </w:t>
      </w:r>
      <w:r w:rsidRPr="007952B8">
        <w:rPr>
          <w:rFonts w:ascii="Times New Roman" w:hAnsi="Times New Roman" w:cs="Times New Roman"/>
        </w:rPr>
        <w:t>structurelles visant à</w:t>
      </w:r>
      <w:r>
        <w:rPr>
          <w:rFonts w:ascii="Times New Roman" w:hAnsi="Times New Roman" w:cs="Times New Roman"/>
        </w:rPr>
        <w:t xml:space="preserve"> réduire le déficit budgétaire.</w:t>
      </w:r>
    </w:p>
    <w:p w14:paraId="58140BB9" w14:textId="77777777" w:rsidR="0028280C" w:rsidRPr="00E25B1F" w:rsidRDefault="0028280C" w:rsidP="00E25B1F">
      <w:pPr>
        <w:pStyle w:val="Titre4"/>
        <w:rPr>
          <w:rFonts w:ascii="Bernard MT Condensed" w:eastAsia="Times New Roman" w:hAnsi="Bernard MT Condensed"/>
          <w:sz w:val="24"/>
          <w:szCs w:val="24"/>
          <w:lang w:eastAsia="fr-FR"/>
        </w:rPr>
      </w:pPr>
      <w:r w:rsidRPr="00E25B1F">
        <w:rPr>
          <w:rFonts w:ascii="Bernard MT Condensed" w:hAnsi="Bernard MT Condensed"/>
          <w:sz w:val="24"/>
          <w:szCs w:val="24"/>
        </w:rPr>
        <w:t xml:space="preserve">I.3.6.6 - </w:t>
      </w:r>
      <w:r w:rsidRPr="00E25B1F">
        <w:rPr>
          <w:rFonts w:ascii="Bernard MT Condensed" w:eastAsia="Times New Roman" w:hAnsi="Bernard MT Condensed"/>
          <w:sz w:val="24"/>
          <w:szCs w:val="24"/>
          <w:lang w:eastAsia="fr-FR"/>
        </w:rPr>
        <w:t xml:space="preserve"> - Secteur privé </w:t>
      </w:r>
    </w:p>
    <w:p w14:paraId="14129259" w14:textId="70039FC3" w:rsidR="0028280C" w:rsidRPr="00937588" w:rsidRDefault="0028280C" w:rsidP="0028280C">
      <w:pPr>
        <w:jc w:val="both"/>
        <w:rPr>
          <w:rFonts w:ascii="Times New Roman" w:hAnsi="Times New Roman" w:cs="Times New Roman"/>
        </w:rPr>
      </w:pPr>
      <w:r>
        <w:rPr>
          <w:rFonts w:ascii="Times New Roman" w:hAnsi="Times New Roman" w:cs="Times New Roman"/>
        </w:rPr>
        <w:t>S’agissant du secteur privé, l</w:t>
      </w:r>
      <w:r w:rsidRPr="00937588">
        <w:rPr>
          <w:rFonts w:ascii="Times New Roman" w:hAnsi="Times New Roman" w:cs="Times New Roman"/>
        </w:rPr>
        <w:t xml:space="preserve">e Niger </w:t>
      </w:r>
      <w:r>
        <w:rPr>
          <w:rFonts w:ascii="Times New Roman" w:hAnsi="Times New Roman" w:cs="Times New Roman"/>
        </w:rPr>
        <w:t xml:space="preserve">a consenti des efforts considérables pour </w:t>
      </w:r>
      <w:r w:rsidRPr="00937588">
        <w:rPr>
          <w:rFonts w:ascii="Times New Roman" w:hAnsi="Times New Roman" w:cs="Times New Roman"/>
        </w:rPr>
        <w:t xml:space="preserve">améliorer l’environnement des affaires afin non seulement </w:t>
      </w:r>
      <w:r w:rsidR="002237DD">
        <w:rPr>
          <w:rFonts w:ascii="Times New Roman" w:hAnsi="Times New Roman" w:cs="Times New Roman"/>
        </w:rPr>
        <w:t>d’</w:t>
      </w:r>
      <w:r w:rsidRPr="00937588">
        <w:rPr>
          <w:rFonts w:ascii="Times New Roman" w:hAnsi="Times New Roman" w:cs="Times New Roman"/>
        </w:rPr>
        <w:t xml:space="preserve">attirer plus d’investissements directs domestiques et étrangers mais aussi </w:t>
      </w:r>
      <w:r>
        <w:rPr>
          <w:rFonts w:ascii="Times New Roman" w:hAnsi="Times New Roman" w:cs="Times New Roman"/>
        </w:rPr>
        <w:t xml:space="preserve">pour </w:t>
      </w:r>
      <w:r w:rsidRPr="00937588">
        <w:rPr>
          <w:rFonts w:ascii="Times New Roman" w:hAnsi="Times New Roman" w:cs="Times New Roman"/>
        </w:rPr>
        <w:t>accroitre la compétitivité du pays</w:t>
      </w:r>
      <w:r>
        <w:rPr>
          <w:rFonts w:ascii="Times New Roman" w:hAnsi="Times New Roman" w:cs="Times New Roman"/>
        </w:rPr>
        <w:t xml:space="preserve"> </w:t>
      </w:r>
      <w:r w:rsidRPr="00937588">
        <w:rPr>
          <w:rFonts w:ascii="Times New Roman" w:hAnsi="Times New Roman" w:cs="Times New Roman"/>
        </w:rPr>
        <w:t xml:space="preserve">et </w:t>
      </w:r>
      <w:r>
        <w:rPr>
          <w:rFonts w:ascii="Times New Roman" w:hAnsi="Times New Roman" w:cs="Times New Roman"/>
        </w:rPr>
        <w:t xml:space="preserve">impulser par ricochet </w:t>
      </w:r>
      <w:r w:rsidRPr="00937588">
        <w:rPr>
          <w:rFonts w:ascii="Times New Roman" w:hAnsi="Times New Roman" w:cs="Times New Roman"/>
        </w:rPr>
        <w:t xml:space="preserve">la croissance économique du pays. L’indice Doing Business de la Banque Mondiale montre que le climat des affaires s’est amélioré avec </w:t>
      </w:r>
      <w:r>
        <w:rPr>
          <w:rFonts w:ascii="Times New Roman" w:hAnsi="Times New Roman" w:cs="Times New Roman"/>
        </w:rPr>
        <w:t>le classement du pays qui est passé du</w:t>
      </w:r>
      <w:r w:rsidR="002237DD">
        <w:rPr>
          <w:rFonts w:ascii="Times New Roman" w:hAnsi="Times New Roman" w:cs="Times New Roman"/>
        </w:rPr>
        <w:t xml:space="preserve"> 171</w:t>
      </w:r>
      <w:r w:rsidR="002237DD" w:rsidRPr="002237DD">
        <w:rPr>
          <w:rFonts w:ascii="Times New Roman" w:hAnsi="Times New Roman" w:cs="Times New Roman"/>
          <w:vertAlign w:val="superscript"/>
        </w:rPr>
        <w:t>ème</w:t>
      </w:r>
      <w:r w:rsidR="002237DD">
        <w:rPr>
          <w:rFonts w:ascii="Times New Roman" w:hAnsi="Times New Roman" w:cs="Times New Roman"/>
        </w:rPr>
        <w:t xml:space="preserve"> </w:t>
      </w:r>
      <w:r w:rsidRPr="00937588">
        <w:rPr>
          <w:rFonts w:ascii="Times New Roman" w:hAnsi="Times New Roman" w:cs="Times New Roman"/>
        </w:rPr>
        <w:t xml:space="preserve"> </w:t>
      </w:r>
      <w:r>
        <w:rPr>
          <w:rFonts w:ascii="Times New Roman" w:hAnsi="Times New Roman" w:cs="Times New Roman"/>
        </w:rPr>
        <w:t xml:space="preserve">rang </w:t>
      </w:r>
      <w:r w:rsidRPr="00937588">
        <w:rPr>
          <w:rFonts w:ascii="Times New Roman" w:hAnsi="Times New Roman" w:cs="Times New Roman"/>
        </w:rPr>
        <w:t xml:space="preserve">en 2010 </w:t>
      </w:r>
      <w:r>
        <w:rPr>
          <w:rFonts w:ascii="Times New Roman" w:hAnsi="Times New Roman" w:cs="Times New Roman"/>
        </w:rPr>
        <w:t>au</w:t>
      </w:r>
      <w:r w:rsidR="002237DD">
        <w:rPr>
          <w:rFonts w:ascii="Times New Roman" w:hAnsi="Times New Roman" w:cs="Times New Roman"/>
        </w:rPr>
        <w:t xml:space="preserve"> 132</w:t>
      </w:r>
      <w:r w:rsidR="002237DD" w:rsidRPr="002237DD">
        <w:rPr>
          <w:rFonts w:ascii="Times New Roman" w:hAnsi="Times New Roman" w:cs="Times New Roman"/>
          <w:vertAlign w:val="superscript"/>
        </w:rPr>
        <w:t>ème</w:t>
      </w:r>
      <w:r w:rsidR="002237DD">
        <w:rPr>
          <w:rFonts w:ascii="Times New Roman" w:hAnsi="Times New Roman" w:cs="Times New Roman"/>
        </w:rPr>
        <w:t xml:space="preserve"> </w:t>
      </w:r>
      <w:r w:rsidRPr="00937588">
        <w:rPr>
          <w:rFonts w:ascii="Times New Roman" w:hAnsi="Times New Roman" w:cs="Times New Roman"/>
        </w:rPr>
        <w:t xml:space="preserve"> </w:t>
      </w:r>
      <w:r>
        <w:rPr>
          <w:rFonts w:ascii="Times New Roman" w:hAnsi="Times New Roman" w:cs="Times New Roman"/>
        </w:rPr>
        <w:t xml:space="preserve">rang </w:t>
      </w:r>
      <w:r w:rsidRPr="00937588">
        <w:rPr>
          <w:rFonts w:ascii="Times New Roman" w:hAnsi="Times New Roman" w:cs="Times New Roman"/>
        </w:rPr>
        <w:t xml:space="preserve">en 2019, soit un gain de 39 points au classement sur cette période. Ce saut dans le classement s’explique par les améliorations observées dans le temps d’exécution de contrats (+28), </w:t>
      </w:r>
      <w:r>
        <w:rPr>
          <w:rFonts w:ascii="Times New Roman" w:hAnsi="Times New Roman" w:cs="Times New Roman"/>
        </w:rPr>
        <w:t xml:space="preserve">le </w:t>
      </w:r>
      <w:r w:rsidRPr="00937588">
        <w:rPr>
          <w:rFonts w:ascii="Times New Roman" w:hAnsi="Times New Roman" w:cs="Times New Roman"/>
        </w:rPr>
        <w:t xml:space="preserve">règlement de l’insolvabilité (+19), </w:t>
      </w:r>
      <w:r>
        <w:rPr>
          <w:rFonts w:ascii="Times New Roman" w:hAnsi="Times New Roman" w:cs="Times New Roman"/>
        </w:rPr>
        <w:t xml:space="preserve">la </w:t>
      </w:r>
      <w:r w:rsidRPr="00937588">
        <w:rPr>
          <w:rFonts w:ascii="Times New Roman" w:hAnsi="Times New Roman" w:cs="Times New Roman"/>
        </w:rPr>
        <w:t xml:space="preserve">protection des investissements prioritaires (+36), </w:t>
      </w:r>
      <w:r>
        <w:rPr>
          <w:rFonts w:ascii="Times New Roman" w:hAnsi="Times New Roman" w:cs="Times New Roman"/>
        </w:rPr>
        <w:t xml:space="preserve">le </w:t>
      </w:r>
      <w:r w:rsidRPr="00937588">
        <w:rPr>
          <w:rFonts w:ascii="Times New Roman" w:hAnsi="Times New Roman" w:cs="Times New Roman"/>
        </w:rPr>
        <w:t xml:space="preserve">commerce transfrontalier (+51), </w:t>
      </w:r>
      <w:r>
        <w:rPr>
          <w:rFonts w:ascii="Times New Roman" w:hAnsi="Times New Roman" w:cs="Times New Roman"/>
        </w:rPr>
        <w:t>l’</w:t>
      </w:r>
      <w:r w:rsidRPr="00937588">
        <w:rPr>
          <w:rFonts w:ascii="Times New Roman" w:hAnsi="Times New Roman" w:cs="Times New Roman"/>
        </w:rPr>
        <w:t xml:space="preserve">obtention de prêt (+78), et </w:t>
      </w:r>
      <w:r>
        <w:rPr>
          <w:rFonts w:ascii="Times New Roman" w:hAnsi="Times New Roman" w:cs="Times New Roman"/>
        </w:rPr>
        <w:t xml:space="preserve">la </w:t>
      </w:r>
      <w:r w:rsidRPr="00937588">
        <w:rPr>
          <w:rFonts w:ascii="Times New Roman" w:hAnsi="Times New Roman" w:cs="Times New Roman"/>
        </w:rPr>
        <w:t>création d’entreprises (+112). Malgré les progrè</w:t>
      </w:r>
      <w:r>
        <w:rPr>
          <w:rFonts w:ascii="Times New Roman" w:hAnsi="Times New Roman" w:cs="Times New Roman"/>
        </w:rPr>
        <w:t>s réalisés dans le classement</w:t>
      </w:r>
      <w:r w:rsidRPr="00937588">
        <w:rPr>
          <w:rFonts w:ascii="Times New Roman" w:hAnsi="Times New Roman" w:cs="Times New Roman"/>
        </w:rPr>
        <w:t>, il y</w:t>
      </w:r>
      <w:r>
        <w:rPr>
          <w:rFonts w:ascii="Times New Roman" w:hAnsi="Times New Roman" w:cs="Times New Roman"/>
        </w:rPr>
        <w:t>’</w:t>
      </w:r>
      <w:r w:rsidRPr="00937588">
        <w:rPr>
          <w:rFonts w:ascii="Times New Roman" w:hAnsi="Times New Roman" w:cs="Times New Roman"/>
        </w:rPr>
        <w:t>a encore des défis à relever pour que le Niger atteigne son rythme de croisière et profite de ses énormes potentialités, notamment l’octroi du permis de construire (-13), raccordement à l’électricité (-41), transfert de propriété (-32), paiement des taxes et impôts (-11).</w:t>
      </w:r>
      <w:r w:rsidRPr="008A6225">
        <w:rPr>
          <w:rFonts w:ascii="Times New Roman" w:hAnsi="Times New Roman" w:cs="Times New Roman"/>
        </w:rPr>
        <w:t xml:space="preserve"> </w:t>
      </w:r>
    </w:p>
    <w:p w14:paraId="27852784" w14:textId="77777777" w:rsidR="0028280C" w:rsidRPr="00937588" w:rsidRDefault="0028280C" w:rsidP="0028280C">
      <w:pPr>
        <w:jc w:val="both"/>
        <w:rPr>
          <w:rFonts w:ascii="Times New Roman" w:hAnsi="Times New Roman" w:cs="Times New Roman"/>
        </w:rPr>
      </w:pPr>
    </w:p>
    <w:p w14:paraId="3A49BBDC" w14:textId="77777777" w:rsidR="0028280C" w:rsidRPr="00121349" w:rsidRDefault="0028280C" w:rsidP="0028280C">
      <w:pPr>
        <w:jc w:val="both"/>
        <w:rPr>
          <w:rFonts w:ascii="Times New Roman" w:hAnsi="Times New Roman" w:cs="Times New Roman"/>
        </w:rPr>
      </w:pPr>
      <w:r>
        <w:rPr>
          <w:noProof/>
          <w:lang w:eastAsia="fr-FR"/>
        </w:rPr>
        <w:lastRenderedPageBreak/>
        <w:drawing>
          <wp:inline distT="0" distB="0" distL="0" distR="0" wp14:anchorId="093B5CEC" wp14:editId="45686E13">
            <wp:extent cx="5715000" cy="2743200"/>
            <wp:effectExtent l="0" t="0" r="0" b="0"/>
            <wp:docPr id="1" name="Graphique 1">
              <a:extLst xmlns:a="http://schemas.openxmlformats.org/drawingml/2006/main">
                <a:ext uri="{FF2B5EF4-FFF2-40B4-BE49-F238E27FC236}">
                  <a16:creationId xmlns:a16="http://schemas.microsoft.com/office/drawing/2014/main" id="{2226C0A6-3800-47CF-A958-3A85940C18C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39B8B6A5" w14:textId="77777777" w:rsidR="0028280C" w:rsidRDefault="0028280C" w:rsidP="0028280C">
      <w:pPr>
        <w:jc w:val="both"/>
        <w:rPr>
          <w:rFonts w:ascii="Times New Roman" w:hAnsi="Times New Roman" w:cs="Times New Roman"/>
        </w:rPr>
      </w:pPr>
      <w:r w:rsidRPr="00EF6739">
        <w:rPr>
          <w:rFonts w:ascii="Times New Roman" w:hAnsi="Times New Roman" w:cs="Times New Roman"/>
          <w:b/>
          <w:i/>
        </w:rPr>
        <w:t>La situation du secteur extérieur</w:t>
      </w:r>
      <w:r w:rsidRPr="00EF6739">
        <w:rPr>
          <w:rFonts w:ascii="Times New Roman" w:hAnsi="Times New Roman" w:cs="Times New Roman"/>
        </w:rPr>
        <w:t xml:space="preserve"> est marquée par une aggravation du déficit du compte courant de la balance des paiements qui est passé de -12,3% du PIB en 2019 à -13,3% en 2020. Il est prévu un rebondissement à environ - 7% du PIB en 2021 avant d’amorcer une tendance baissière en 2022 qui l’emmènerait à -6,3% en 2026. Par ailleurs, on constate que la pandémie de COVID-19 n’a pas négativement affecté les investissements globaux au Niger qui sont passés de 30,2% du PIB en 2019 à 30,8% en 2020, essentiellement tirés par les grands travaux en matière de développement d’infrastructures routières et minières. Cependant, à partir de 2021, le FMI prévoit une baisse continue du niveau de l’investissement global en proportion du PIB, sur fond d’incertitude liée à la pandémie et au contexte sécuritaire. Il se situerait à 22,9% du PIB en 2026 selon l’Institution. Dans le même sens, selon la BAD, au Niger, les flux d'IDE en provenance de la </w:t>
      </w:r>
      <w:r>
        <w:rPr>
          <w:rFonts w:ascii="Times New Roman" w:hAnsi="Times New Roman" w:cs="Times New Roman"/>
        </w:rPr>
        <w:t>C</w:t>
      </w:r>
      <w:r w:rsidRPr="00EF6739">
        <w:rPr>
          <w:rFonts w:ascii="Times New Roman" w:hAnsi="Times New Roman" w:cs="Times New Roman"/>
        </w:rPr>
        <w:t>hine et de l’Europe ont fortement diminué à cause de la pandémie de COVID-19</w:t>
      </w:r>
      <w:r w:rsidRPr="007D468C">
        <w:rPr>
          <w:rFonts w:ascii="Times New Roman" w:hAnsi="Times New Roman" w:cs="Times New Roman"/>
          <w:vertAlign w:val="superscript"/>
        </w:rPr>
        <w:footnoteReference w:id="24"/>
      </w:r>
      <w:r w:rsidRPr="00EF6739">
        <w:rPr>
          <w:rFonts w:ascii="Times New Roman" w:hAnsi="Times New Roman" w:cs="Times New Roman"/>
        </w:rPr>
        <w:t>.</w:t>
      </w:r>
    </w:p>
    <w:p w14:paraId="7E43BBF8" w14:textId="77777777" w:rsidR="0028280C" w:rsidRPr="00E25B1F" w:rsidRDefault="0028280C" w:rsidP="00E25B1F">
      <w:pPr>
        <w:pStyle w:val="Titre4"/>
        <w:rPr>
          <w:rFonts w:ascii="Bernard MT Condensed" w:hAnsi="Bernard MT Condensed"/>
          <w:sz w:val="24"/>
          <w:szCs w:val="24"/>
        </w:rPr>
      </w:pPr>
      <w:bookmarkStart w:id="113" w:name="_Toc84789671"/>
      <w:r w:rsidRPr="00E25B1F">
        <w:rPr>
          <w:rFonts w:ascii="Bernard MT Condensed" w:hAnsi="Bernard MT Condensed"/>
          <w:sz w:val="24"/>
          <w:szCs w:val="24"/>
        </w:rPr>
        <w:t>I.3.6.7 - Dynamiques régionales et sous régionales</w:t>
      </w:r>
      <w:bookmarkEnd w:id="113"/>
    </w:p>
    <w:p w14:paraId="078F05BE" w14:textId="162A116A" w:rsidR="0028280C" w:rsidRDefault="0028280C" w:rsidP="0028280C">
      <w:pPr>
        <w:jc w:val="both"/>
        <w:rPr>
          <w:rFonts w:ascii="Times New Roman" w:hAnsi="Times New Roman" w:cs="Times New Roman"/>
        </w:rPr>
      </w:pPr>
      <w:r w:rsidRPr="00934BFC">
        <w:rPr>
          <w:rFonts w:ascii="Times New Roman" w:hAnsi="Times New Roman" w:cs="Times New Roman"/>
        </w:rPr>
        <w:t>S’agissant des dynamiques régionales et sous régionales, en Afrique et dans les espaces UEMOA et CEDEAO, le Nigéria reste le partenaire clef</w:t>
      </w:r>
      <w:r w:rsidR="002237DD">
        <w:rPr>
          <w:rFonts w:ascii="Times New Roman" w:hAnsi="Times New Roman" w:cs="Times New Roman"/>
        </w:rPr>
        <w:t xml:space="preserve"> et stratégique du Niger. Sur la</w:t>
      </w:r>
      <w:r w:rsidRPr="00934BFC">
        <w:rPr>
          <w:rFonts w:ascii="Times New Roman" w:hAnsi="Times New Roman" w:cs="Times New Roman"/>
        </w:rPr>
        <w:t xml:space="preserve"> période 2010-2019, sur un montant moyen de 125,4 milliards de FCFA des exportations totales vers les autres pays de la CEDEAO (ne faisant pas partie de l’UEMOA), 89,0% ont été exportés vers le Nigéria. En valeur nominale, après avoir enregistré son montant d’exportation le plus élevé en 2013 avec 606,9 milliards de FCFA, les exportations du Niger vers les autres pays de la CEDEAO ont évolué en dents de scie. Sur la période 2014-2019, le montant le plus élevé des exportations vers les autres pays de la CEDEAO était de 127,7 milliards de FCFA en 2017 </w:t>
      </w:r>
      <w:r w:rsidR="002237DD">
        <w:rPr>
          <w:rFonts w:ascii="Times New Roman" w:hAnsi="Times New Roman" w:cs="Times New Roman"/>
        </w:rPr>
        <w:t>et de</w:t>
      </w:r>
      <w:r w:rsidRPr="00934BFC">
        <w:rPr>
          <w:rFonts w:ascii="Times New Roman" w:hAnsi="Times New Roman" w:cs="Times New Roman"/>
        </w:rPr>
        <w:t xml:space="preserve"> 65,6 milliards de FCFA en 2019. En dehors du Nigeria, le Ghana est le deuxième pays de destination des exportations du Niger vers les autres pays de la CEDEAO avec une moyenne de 11,0% des exportations et un taux de 13,6% du montant total des exportations vers les autres pays de la CEDEAO. Dans l’espace UEMOA, avec des moyennes de 42,2%, 34,9% et 6,9%, le Burkina-Faso, le Mali et la Cote D’Ivoire sont les trois premières destinations des exportations du Niger dans l’espace UEMOA sur la période 2010-2019.</w:t>
      </w:r>
      <w:r>
        <w:rPr>
          <w:rFonts w:ascii="Times New Roman" w:hAnsi="Times New Roman" w:cs="Times New Roman"/>
        </w:rPr>
        <w:t xml:space="preserve"> </w:t>
      </w:r>
      <w:r w:rsidRPr="007D468C">
        <w:rPr>
          <w:rFonts w:ascii="Times New Roman" w:hAnsi="Times New Roman" w:cs="Times New Roman"/>
        </w:rPr>
        <w:t>Depuis 2016, le Mali a surpassé le Burkina-Faso comme première destination des exportations du Niger dans l’espace UEMOA. En 2018 et 2019, le Mali a reçu 65,8% et 67,5% des exportations totales du Niger vers les autres pays de l’UEMOA contre 29,2% et 22,6% pour le Burkina-Faso, respectivement.</w:t>
      </w:r>
    </w:p>
    <w:p w14:paraId="66EAC8E7" w14:textId="77777777" w:rsidR="002237DD" w:rsidRDefault="002237DD" w:rsidP="0028280C">
      <w:pPr>
        <w:jc w:val="both"/>
        <w:rPr>
          <w:rFonts w:ascii="Times New Roman" w:hAnsi="Times New Roman" w:cs="Times New Roman"/>
        </w:rPr>
      </w:pPr>
    </w:p>
    <w:p w14:paraId="14DC0C30" w14:textId="0E7AEEF1" w:rsidR="0028280C" w:rsidRDefault="0028280C" w:rsidP="0028280C">
      <w:pPr>
        <w:jc w:val="both"/>
        <w:rPr>
          <w:rFonts w:ascii="Times New Roman" w:hAnsi="Times New Roman" w:cs="Times New Roman"/>
        </w:rPr>
      </w:pPr>
      <w:r w:rsidRPr="0036491E">
        <w:rPr>
          <w:rFonts w:ascii="Times New Roman" w:hAnsi="Times New Roman" w:cs="Times New Roman"/>
        </w:rPr>
        <w:lastRenderedPageBreak/>
        <w:t>Quant aux importations, Le Niger a enregistré une valeur moyenne de 1419,3 milliards de FCFA sur la période 2010-2020. Il faut noter que la val</w:t>
      </w:r>
      <w:r>
        <w:rPr>
          <w:rFonts w:ascii="Times New Roman" w:hAnsi="Times New Roman" w:cs="Times New Roman"/>
        </w:rPr>
        <w:t>eur</w:t>
      </w:r>
      <w:r w:rsidRPr="0036491E">
        <w:rPr>
          <w:rFonts w:ascii="Times New Roman" w:hAnsi="Times New Roman" w:cs="Times New Roman"/>
        </w:rPr>
        <w:t xml:space="preserve"> des importations </w:t>
      </w:r>
      <w:r w:rsidR="002237DD">
        <w:rPr>
          <w:rFonts w:ascii="Times New Roman" w:hAnsi="Times New Roman" w:cs="Times New Roman"/>
        </w:rPr>
        <w:t>affiche</w:t>
      </w:r>
      <w:r w:rsidRPr="0036491E">
        <w:rPr>
          <w:rFonts w:ascii="Times New Roman" w:hAnsi="Times New Roman" w:cs="Times New Roman"/>
        </w:rPr>
        <w:t xml:space="preserve"> une tendance haussière depuis 2016, passant 1281,9 milliards FCFA à 1726,0 milliards de FCFA en 2020, soit une augmentation annuelle moyenne de 7,6% sur cette période. Sur la période 2010-2020, les importations du Niger étaient dominées en moyenne par les biens d’équipements (27,8%) et les produits alimentaires (20,8%). Il faut noter l’</w:t>
      </w:r>
      <w:r w:rsidR="002237DD">
        <w:rPr>
          <w:rFonts w:ascii="Times New Roman" w:hAnsi="Times New Roman" w:cs="Times New Roman"/>
        </w:rPr>
        <w:t>importance</w:t>
      </w:r>
      <w:r w:rsidRPr="0036491E">
        <w:rPr>
          <w:rFonts w:ascii="Times New Roman" w:hAnsi="Times New Roman" w:cs="Times New Roman"/>
        </w:rPr>
        <w:t xml:space="preserve"> des produits alimentaires dans les importations totales du Niger, passant de 9,3% en 2010 à 26,</w:t>
      </w:r>
      <w:r w:rsidR="002237DD">
        <w:rPr>
          <w:rFonts w:ascii="Times New Roman" w:hAnsi="Times New Roman" w:cs="Times New Roman"/>
        </w:rPr>
        <w:t>4% en 2020</w:t>
      </w:r>
      <w:r w:rsidRPr="0036491E">
        <w:rPr>
          <w:rFonts w:ascii="Times New Roman" w:hAnsi="Times New Roman" w:cs="Times New Roman"/>
        </w:rPr>
        <w:t>. En outre, la valeur nominale des importations des produits alimentaires a quadruplé entre 2010 et 2020, passant de 113,9 milliards de FCFA à 455,1 milliards de FCFA. Quant aux produits pétroliers, leurs valeurs ont connu une baisse significative ces dernières années par rapport à l’année 2011 où les importations des produits pétroliers étaient de 163,3 milliards de FCFA pour s’établir à 63,1 milliards de FCFA en 2020.</w:t>
      </w:r>
    </w:p>
    <w:p w14:paraId="58CC4FD3" w14:textId="335DD295" w:rsidR="0028280C" w:rsidRDefault="0028280C" w:rsidP="0028280C">
      <w:pPr>
        <w:jc w:val="both"/>
        <w:rPr>
          <w:rFonts w:ascii="Times New Roman" w:hAnsi="Times New Roman" w:cs="Times New Roman"/>
        </w:rPr>
      </w:pPr>
      <w:r>
        <w:rPr>
          <w:rFonts w:ascii="Times New Roman" w:hAnsi="Times New Roman" w:cs="Times New Roman"/>
        </w:rPr>
        <w:t>La ratification de la Zone de libre-échange continental (Zlecaf) par la Niger présente une opportunité indéniable pour le pays d’élargir et de diversifier ses partenaires économiques sur le continent africain mais aussi d’écouler ses productions destinées vers l’exportation. Cependant, pour que le Niger profite pleinement de la Zlecaf, une réflexion stratégique interne est nécessaire sur la diversification des exportations du pays</w:t>
      </w:r>
      <w:r w:rsidR="008A5448" w:rsidRPr="008A5448">
        <w:rPr>
          <w:rFonts w:ascii="Times New Roman" w:hAnsi="Times New Roman" w:cs="Times New Roman"/>
        </w:rPr>
        <w:t xml:space="preserve"> </w:t>
      </w:r>
      <w:r w:rsidR="008A5448">
        <w:rPr>
          <w:rFonts w:ascii="Times New Roman" w:hAnsi="Times New Roman" w:cs="Times New Roman"/>
        </w:rPr>
        <w:t>et de</w:t>
      </w:r>
      <w:r w:rsidR="00DF2BA1">
        <w:rPr>
          <w:rFonts w:ascii="Times New Roman" w:hAnsi="Times New Roman" w:cs="Times New Roman"/>
        </w:rPr>
        <w:t>s</w:t>
      </w:r>
      <w:r w:rsidR="008A5448">
        <w:rPr>
          <w:rFonts w:ascii="Times New Roman" w:hAnsi="Times New Roman" w:cs="Times New Roman"/>
        </w:rPr>
        <w:t xml:space="preserve"> partenaires</w:t>
      </w:r>
      <w:r>
        <w:rPr>
          <w:rFonts w:ascii="Times New Roman" w:hAnsi="Times New Roman" w:cs="Times New Roman"/>
        </w:rPr>
        <w:t xml:space="preserve">. L’analyse des produits exportés montre une forte concentration de ces derniers. Bien que leurs parts aient baissé dans la valeur des exportations totales du pays, les produits miniers (or et uranium) et pétroliers occupent toujours une place prépondérante dans les exportations. Les parts des produits pétroliers et miniers dans les exportations totales sont passées de 68,0% en 2012 à 42,2% en 2020. En 2018, concernant les exportations vers l’Afrique, avec 47,07% des exportations totales vers l’Afrique, le pétrole occupait la première place, suivi de l’oignon (12,6%) et animaux vivants, notamment bovins et ovins, avec 5,5%, le riz (1,8%) et l’huile de palme (1,7%). Le pétrole Nigérien est globalement exporté vers le Nigéria voisin. La fermeture unilatérale de la frontière terrestre du Nigeria avec ses voisins, y compris le Niger, a montré la vulnérabilité </w:t>
      </w:r>
      <w:r w:rsidR="00473766">
        <w:rPr>
          <w:rFonts w:ascii="Times New Roman" w:hAnsi="Times New Roman" w:cs="Times New Roman"/>
        </w:rPr>
        <w:t xml:space="preserve">de la dépendance du pays </w:t>
      </w:r>
      <w:r w:rsidR="00DF2BA1">
        <w:rPr>
          <w:rFonts w:ascii="Times New Roman" w:hAnsi="Times New Roman" w:cs="Times New Roman"/>
        </w:rPr>
        <w:t>vis à vis</w:t>
      </w:r>
      <w:r w:rsidR="00473766">
        <w:rPr>
          <w:rFonts w:ascii="Times New Roman" w:hAnsi="Times New Roman" w:cs="Times New Roman"/>
        </w:rPr>
        <w:t xml:space="preserve"> </w:t>
      </w:r>
      <w:r>
        <w:rPr>
          <w:rFonts w:ascii="Times New Roman" w:hAnsi="Times New Roman" w:cs="Times New Roman"/>
        </w:rPr>
        <w:t xml:space="preserve">de ce dernier. </w:t>
      </w:r>
    </w:p>
    <w:p w14:paraId="311F28F2" w14:textId="20DDE362" w:rsidR="0028280C" w:rsidRPr="00806AA5" w:rsidRDefault="00DF2BA1" w:rsidP="0028280C">
      <w:pPr>
        <w:spacing w:line="276" w:lineRule="auto"/>
        <w:jc w:val="both"/>
        <w:rPr>
          <w:rFonts w:ascii="Times New Roman" w:hAnsi="Times New Roman" w:cs="Times New Roman"/>
        </w:rPr>
      </w:pPr>
      <w:r>
        <w:rPr>
          <w:rFonts w:ascii="Times New Roman" w:hAnsi="Times New Roman" w:cs="Times New Roman"/>
        </w:rPr>
        <w:t>L</w:t>
      </w:r>
      <w:r w:rsidR="0028280C" w:rsidRPr="00D65296">
        <w:rPr>
          <w:rFonts w:ascii="Times New Roman" w:hAnsi="Times New Roman" w:cs="Times New Roman"/>
        </w:rPr>
        <w:t>e Niger doit continuer d’investir dans l’amélioration de ses infrastructures (routières et énergétiques)</w:t>
      </w:r>
      <w:r>
        <w:rPr>
          <w:rFonts w:ascii="Times New Roman" w:hAnsi="Times New Roman" w:cs="Times New Roman"/>
        </w:rPr>
        <w:t xml:space="preserve"> afin de saisir les opportunités offertes par </w:t>
      </w:r>
      <w:r w:rsidRPr="00D65296">
        <w:rPr>
          <w:rFonts w:ascii="Times New Roman" w:hAnsi="Times New Roman" w:cs="Times New Roman"/>
        </w:rPr>
        <w:t xml:space="preserve">la Zlecaf </w:t>
      </w:r>
      <w:r>
        <w:rPr>
          <w:rFonts w:ascii="Times New Roman" w:hAnsi="Times New Roman" w:cs="Times New Roman"/>
        </w:rPr>
        <w:t>particulièrement pour</w:t>
      </w:r>
      <w:r w:rsidRPr="00D65296">
        <w:rPr>
          <w:rFonts w:ascii="Times New Roman" w:hAnsi="Times New Roman" w:cs="Times New Roman"/>
        </w:rPr>
        <w:t xml:space="preserve"> augmenter ses échanges commerciaux </w:t>
      </w:r>
      <w:r>
        <w:rPr>
          <w:rFonts w:ascii="Times New Roman" w:hAnsi="Times New Roman" w:cs="Times New Roman"/>
        </w:rPr>
        <w:t>au sein de la CEDEAO et au-delà. Le pays</w:t>
      </w:r>
      <w:r w:rsidR="0028280C" w:rsidRPr="00D65296">
        <w:rPr>
          <w:rFonts w:ascii="Times New Roman" w:hAnsi="Times New Roman" w:cs="Times New Roman"/>
        </w:rPr>
        <w:t xml:space="preserve"> réduirait considérablement les coûts de production pour les entreprises et augmenterait</w:t>
      </w:r>
      <w:r w:rsidRPr="00DF2BA1">
        <w:rPr>
          <w:rFonts w:ascii="Times New Roman" w:hAnsi="Times New Roman" w:cs="Times New Roman"/>
        </w:rPr>
        <w:t xml:space="preserve"> </w:t>
      </w:r>
      <w:r w:rsidRPr="00D65296">
        <w:rPr>
          <w:rFonts w:ascii="Times New Roman" w:hAnsi="Times New Roman" w:cs="Times New Roman"/>
        </w:rPr>
        <w:t>aussi</w:t>
      </w:r>
      <w:r w:rsidR="0028280C" w:rsidRPr="00D65296">
        <w:rPr>
          <w:rFonts w:ascii="Times New Roman" w:hAnsi="Times New Roman" w:cs="Times New Roman"/>
        </w:rPr>
        <w:t xml:space="preserve"> l’attractivité des investissements directs étrangers (IDE). Selon l’Indice de l’intégration africaine (IIA) de la CEA, avec un score de 0,321, le Niger est classé douzième au sein de la CEDEAO. L’un des points saillants de cet indice composite est le faible score du Niger dans les domaines de l’intégration infrastructurelle et aussi </w:t>
      </w:r>
      <w:r>
        <w:rPr>
          <w:rFonts w:ascii="Times New Roman" w:hAnsi="Times New Roman" w:cs="Times New Roman"/>
        </w:rPr>
        <w:t>l’</w:t>
      </w:r>
      <w:r w:rsidR="0028280C" w:rsidRPr="00D65296">
        <w:rPr>
          <w:rFonts w:ascii="Times New Roman" w:hAnsi="Times New Roman" w:cs="Times New Roman"/>
        </w:rPr>
        <w:t>intégration productive pour le</w:t>
      </w:r>
      <w:r>
        <w:rPr>
          <w:rFonts w:ascii="Times New Roman" w:hAnsi="Times New Roman" w:cs="Times New Roman"/>
        </w:rPr>
        <w:t>squelles le pays occupe le 15</w:t>
      </w:r>
      <w:r w:rsidRPr="00DF2BA1">
        <w:rPr>
          <w:rFonts w:ascii="Times New Roman" w:hAnsi="Times New Roman" w:cs="Times New Roman"/>
          <w:vertAlign w:val="superscript"/>
        </w:rPr>
        <w:t>ème</w:t>
      </w:r>
      <w:r>
        <w:rPr>
          <w:rFonts w:ascii="Times New Roman" w:hAnsi="Times New Roman" w:cs="Times New Roman"/>
        </w:rPr>
        <w:t xml:space="preserve"> </w:t>
      </w:r>
      <w:r w:rsidR="0028280C" w:rsidRPr="00D65296">
        <w:rPr>
          <w:rFonts w:ascii="Times New Roman" w:hAnsi="Times New Roman" w:cs="Times New Roman"/>
        </w:rPr>
        <w:t xml:space="preserve"> rang au sein de la CEDEAO. A l’instar d’autres pays de la CEDEAO, le pays devra aussi se doter d’une stratégie nationale d’intégration pour assurer un pilotage efficace de son intégration dans la sous-région.</w:t>
      </w:r>
      <w:r>
        <w:rPr>
          <w:rFonts w:ascii="Times New Roman" w:hAnsi="Times New Roman" w:cs="Times New Roman"/>
        </w:rPr>
        <w:t xml:space="preserve"> </w:t>
      </w:r>
    </w:p>
    <w:p w14:paraId="121AD77A" w14:textId="77777777" w:rsidR="00EA4DC3" w:rsidRDefault="00EA4DC3" w:rsidP="0028280C">
      <w:pPr>
        <w:ind w:left="-1134"/>
        <w:jc w:val="right"/>
        <w:rPr>
          <w:rFonts w:ascii="Times New Roman" w:hAnsi="Times New Roman" w:cs="Times New Roman"/>
          <w:b/>
          <w:sz w:val="20"/>
          <w:szCs w:val="20"/>
        </w:rPr>
      </w:pPr>
    </w:p>
    <w:p w14:paraId="2AC915AC" w14:textId="77777777" w:rsidR="00EA4DC3" w:rsidRDefault="00EA4DC3" w:rsidP="0028280C">
      <w:pPr>
        <w:ind w:left="-1134"/>
        <w:jc w:val="right"/>
        <w:rPr>
          <w:rFonts w:ascii="Times New Roman" w:hAnsi="Times New Roman" w:cs="Times New Roman"/>
          <w:b/>
          <w:sz w:val="20"/>
          <w:szCs w:val="20"/>
        </w:rPr>
      </w:pPr>
    </w:p>
    <w:p w14:paraId="7F5143B8" w14:textId="77777777" w:rsidR="00EA4DC3" w:rsidRDefault="00EA4DC3" w:rsidP="0028280C">
      <w:pPr>
        <w:ind w:left="-1134"/>
        <w:jc w:val="right"/>
        <w:rPr>
          <w:rFonts w:ascii="Times New Roman" w:hAnsi="Times New Roman" w:cs="Times New Roman"/>
          <w:b/>
          <w:sz w:val="20"/>
          <w:szCs w:val="20"/>
        </w:rPr>
      </w:pPr>
    </w:p>
    <w:p w14:paraId="6B9FDAAF" w14:textId="77777777" w:rsidR="00EA4DC3" w:rsidRDefault="00EA4DC3" w:rsidP="0028280C">
      <w:pPr>
        <w:ind w:left="-1134"/>
        <w:jc w:val="right"/>
        <w:rPr>
          <w:rFonts w:ascii="Times New Roman" w:hAnsi="Times New Roman" w:cs="Times New Roman"/>
          <w:b/>
          <w:sz w:val="20"/>
          <w:szCs w:val="20"/>
        </w:rPr>
      </w:pPr>
    </w:p>
    <w:p w14:paraId="6E955AB1" w14:textId="77777777" w:rsidR="00EA4DC3" w:rsidRDefault="00EA4DC3" w:rsidP="0028280C">
      <w:pPr>
        <w:ind w:left="-1134"/>
        <w:jc w:val="right"/>
        <w:rPr>
          <w:rFonts w:ascii="Times New Roman" w:hAnsi="Times New Roman" w:cs="Times New Roman"/>
          <w:b/>
          <w:sz w:val="20"/>
          <w:szCs w:val="20"/>
        </w:rPr>
      </w:pPr>
    </w:p>
    <w:p w14:paraId="72C52086" w14:textId="77777777" w:rsidR="00EA4DC3" w:rsidRDefault="00EA4DC3" w:rsidP="0028280C">
      <w:pPr>
        <w:ind w:left="-1134"/>
        <w:jc w:val="right"/>
        <w:rPr>
          <w:rFonts w:ascii="Times New Roman" w:hAnsi="Times New Roman" w:cs="Times New Roman"/>
          <w:b/>
          <w:sz w:val="20"/>
          <w:szCs w:val="20"/>
        </w:rPr>
      </w:pPr>
    </w:p>
    <w:p w14:paraId="0F7DA7FF" w14:textId="77777777" w:rsidR="00EA4DC3" w:rsidRDefault="00EA4DC3" w:rsidP="0028280C">
      <w:pPr>
        <w:ind w:left="-1134"/>
        <w:jc w:val="right"/>
        <w:rPr>
          <w:rFonts w:ascii="Times New Roman" w:hAnsi="Times New Roman" w:cs="Times New Roman"/>
          <w:b/>
          <w:sz w:val="20"/>
          <w:szCs w:val="20"/>
        </w:rPr>
      </w:pPr>
    </w:p>
    <w:p w14:paraId="7B68E4B7" w14:textId="77777777" w:rsidR="00DF2BA1" w:rsidRDefault="00DF2BA1" w:rsidP="0028280C">
      <w:pPr>
        <w:ind w:left="-1134"/>
        <w:jc w:val="right"/>
        <w:rPr>
          <w:rFonts w:ascii="Times New Roman" w:hAnsi="Times New Roman" w:cs="Times New Roman"/>
          <w:b/>
          <w:sz w:val="20"/>
          <w:szCs w:val="20"/>
        </w:rPr>
      </w:pPr>
    </w:p>
    <w:p w14:paraId="021B3094" w14:textId="77777777" w:rsidR="00DF2BA1" w:rsidRDefault="00DF2BA1" w:rsidP="0028280C">
      <w:pPr>
        <w:ind w:left="-1134"/>
        <w:jc w:val="right"/>
        <w:rPr>
          <w:rFonts w:ascii="Times New Roman" w:hAnsi="Times New Roman" w:cs="Times New Roman"/>
          <w:b/>
          <w:sz w:val="20"/>
          <w:szCs w:val="20"/>
        </w:rPr>
      </w:pPr>
    </w:p>
    <w:p w14:paraId="137296D8" w14:textId="77777777" w:rsidR="0028280C" w:rsidRPr="00196DA4" w:rsidRDefault="0028280C" w:rsidP="0028280C">
      <w:pPr>
        <w:ind w:left="-1134"/>
        <w:jc w:val="right"/>
        <w:rPr>
          <w:rFonts w:ascii="Times New Roman" w:hAnsi="Times New Roman" w:cs="Times New Roman"/>
          <w:b/>
          <w:sz w:val="20"/>
          <w:szCs w:val="20"/>
        </w:rPr>
      </w:pPr>
      <w:r w:rsidRPr="00196DA4">
        <w:rPr>
          <w:rFonts w:ascii="Times New Roman" w:hAnsi="Times New Roman" w:cs="Times New Roman"/>
          <w:b/>
          <w:sz w:val="20"/>
          <w:szCs w:val="20"/>
        </w:rPr>
        <w:lastRenderedPageBreak/>
        <w:t>Evolution des exportations du Niger vers les pays de l’UEMOA et les autres pays de la CEDEAO</w:t>
      </w:r>
    </w:p>
    <w:tbl>
      <w:tblPr>
        <w:tblW w:w="9821" w:type="dxa"/>
        <w:tblInd w:w="-5" w:type="dxa"/>
        <w:tblLook w:val="04A0" w:firstRow="1" w:lastRow="0" w:firstColumn="1" w:lastColumn="0" w:noHBand="0" w:noVBand="1"/>
      </w:tblPr>
      <w:tblGrid>
        <w:gridCol w:w="2131"/>
        <w:gridCol w:w="783"/>
        <w:gridCol w:w="774"/>
        <w:gridCol w:w="733"/>
        <w:gridCol w:w="857"/>
        <w:gridCol w:w="733"/>
        <w:gridCol w:w="733"/>
        <w:gridCol w:w="781"/>
        <w:gridCol w:w="782"/>
        <w:gridCol w:w="781"/>
        <w:gridCol w:w="733"/>
      </w:tblGrid>
      <w:tr w:rsidR="0028280C" w:rsidRPr="00196DA4" w14:paraId="29E719DC" w14:textId="77777777" w:rsidTr="00E43F48">
        <w:trPr>
          <w:trHeight w:val="295"/>
        </w:trPr>
        <w:tc>
          <w:tcPr>
            <w:tcW w:w="2191" w:type="dxa"/>
          </w:tcPr>
          <w:p w14:paraId="2E11A886" w14:textId="77777777" w:rsidR="0028280C" w:rsidRPr="00196DA4" w:rsidRDefault="0028280C" w:rsidP="00E43F48">
            <w:pPr>
              <w:rPr>
                <w:b/>
                <w:sz w:val="20"/>
                <w:szCs w:val="20"/>
              </w:rPr>
            </w:pPr>
          </w:p>
        </w:tc>
        <w:tc>
          <w:tcPr>
            <w:tcW w:w="787" w:type="dxa"/>
          </w:tcPr>
          <w:p w14:paraId="767ADE2A"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2010</w:t>
            </w:r>
          </w:p>
        </w:tc>
        <w:tc>
          <w:tcPr>
            <w:tcW w:w="777" w:type="dxa"/>
          </w:tcPr>
          <w:p w14:paraId="62A9E804"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2011</w:t>
            </w:r>
          </w:p>
        </w:tc>
        <w:tc>
          <w:tcPr>
            <w:tcW w:w="711" w:type="dxa"/>
          </w:tcPr>
          <w:p w14:paraId="2B36DDE9"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2012</w:t>
            </w:r>
          </w:p>
        </w:tc>
        <w:tc>
          <w:tcPr>
            <w:tcW w:w="866" w:type="dxa"/>
          </w:tcPr>
          <w:p w14:paraId="72EC022B"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2013</w:t>
            </w:r>
          </w:p>
        </w:tc>
        <w:tc>
          <w:tcPr>
            <w:tcW w:w="711" w:type="dxa"/>
          </w:tcPr>
          <w:p w14:paraId="631C133F"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2014</w:t>
            </w:r>
          </w:p>
        </w:tc>
        <w:tc>
          <w:tcPr>
            <w:tcW w:w="711" w:type="dxa"/>
          </w:tcPr>
          <w:p w14:paraId="471B39D1"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2015</w:t>
            </w:r>
          </w:p>
        </w:tc>
        <w:tc>
          <w:tcPr>
            <w:tcW w:w="785" w:type="dxa"/>
          </w:tcPr>
          <w:p w14:paraId="7A85F046"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2016</w:t>
            </w:r>
          </w:p>
        </w:tc>
        <w:tc>
          <w:tcPr>
            <w:tcW w:w="786" w:type="dxa"/>
          </w:tcPr>
          <w:p w14:paraId="7F5F961A"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2017</w:t>
            </w:r>
          </w:p>
        </w:tc>
        <w:tc>
          <w:tcPr>
            <w:tcW w:w="785" w:type="dxa"/>
          </w:tcPr>
          <w:p w14:paraId="110E5A36"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2018</w:t>
            </w:r>
          </w:p>
        </w:tc>
        <w:tc>
          <w:tcPr>
            <w:tcW w:w="711" w:type="dxa"/>
          </w:tcPr>
          <w:p w14:paraId="6EA77958"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2019</w:t>
            </w:r>
          </w:p>
        </w:tc>
      </w:tr>
      <w:tr w:rsidR="0028280C" w:rsidRPr="00196DA4" w14:paraId="0271B322" w14:textId="77777777" w:rsidTr="00E43F48">
        <w:trPr>
          <w:trHeight w:val="935"/>
        </w:trPr>
        <w:tc>
          <w:tcPr>
            <w:tcW w:w="2191" w:type="dxa"/>
            <w:shd w:val="clear" w:color="auto" w:fill="FFC000"/>
          </w:tcPr>
          <w:p w14:paraId="21D7CE30" w14:textId="77777777" w:rsidR="0028280C" w:rsidRPr="00196DA4" w:rsidRDefault="0028280C" w:rsidP="00E43F48">
            <w:pPr>
              <w:pStyle w:val="Sansinterligne"/>
              <w:rPr>
                <w:rFonts w:ascii="Times New Roman" w:hAnsi="Times New Roman" w:cs="Times New Roman"/>
                <w:b/>
                <w:sz w:val="20"/>
                <w:szCs w:val="20"/>
                <w:lang w:val="fr-FR"/>
              </w:rPr>
            </w:pPr>
            <w:r w:rsidRPr="00196DA4">
              <w:rPr>
                <w:rFonts w:ascii="Times New Roman" w:hAnsi="Times New Roman" w:cs="Times New Roman"/>
                <w:b/>
                <w:sz w:val="20"/>
                <w:szCs w:val="20"/>
                <w:lang w:val="fr-FR"/>
              </w:rPr>
              <w:t>Exportations totales du Niger vers les autres pays UEMOA (en milliards FCFA)</w:t>
            </w:r>
          </w:p>
          <w:p w14:paraId="6F0DC2EE" w14:textId="77777777" w:rsidR="0028280C" w:rsidRPr="00196DA4" w:rsidRDefault="0028280C" w:rsidP="00E43F48">
            <w:pPr>
              <w:pStyle w:val="Sansinterligne"/>
              <w:rPr>
                <w:rFonts w:ascii="Times New Roman" w:hAnsi="Times New Roman" w:cs="Times New Roman"/>
                <w:b/>
                <w:sz w:val="20"/>
                <w:szCs w:val="20"/>
                <w:lang w:val="fr-FR"/>
              </w:rPr>
            </w:pPr>
          </w:p>
        </w:tc>
        <w:tc>
          <w:tcPr>
            <w:tcW w:w="787" w:type="dxa"/>
            <w:shd w:val="clear" w:color="auto" w:fill="FFC000"/>
          </w:tcPr>
          <w:p w14:paraId="7DFC06D7" w14:textId="77777777" w:rsidR="0028280C" w:rsidRPr="00196DA4" w:rsidRDefault="0028280C" w:rsidP="00E43F48">
            <w:pPr>
              <w:pStyle w:val="Sansinterligne"/>
              <w:rPr>
                <w:rFonts w:ascii="Times New Roman" w:hAnsi="Times New Roman" w:cs="Times New Roman"/>
                <w:b/>
                <w:sz w:val="20"/>
                <w:szCs w:val="20"/>
              </w:rPr>
            </w:pPr>
            <w:r w:rsidRPr="00196DA4">
              <w:rPr>
                <w:rFonts w:ascii="Times New Roman" w:hAnsi="Times New Roman" w:cs="Times New Roman"/>
                <w:b/>
                <w:sz w:val="20"/>
                <w:szCs w:val="20"/>
              </w:rPr>
              <w:t>3,7</w:t>
            </w:r>
          </w:p>
        </w:tc>
        <w:tc>
          <w:tcPr>
            <w:tcW w:w="777" w:type="dxa"/>
            <w:shd w:val="clear" w:color="auto" w:fill="FFC000"/>
          </w:tcPr>
          <w:p w14:paraId="489F52FA" w14:textId="77777777" w:rsidR="0028280C" w:rsidRPr="00196DA4" w:rsidRDefault="0028280C" w:rsidP="00E43F48">
            <w:pPr>
              <w:pStyle w:val="Sansinterligne"/>
              <w:rPr>
                <w:rFonts w:ascii="Times New Roman" w:hAnsi="Times New Roman" w:cs="Times New Roman"/>
                <w:b/>
                <w:sz w:val="20"/>
                <w:szCs w:val="20"/>
              </w:rPr>
            </w:pPr>
            <w:r w:rsidRPr="00196DA4">
              <w:rPr>
                <w:rFonts w:ascii="Times New Roman" w:hAnsi="Times New Roman" w:cs="Times New Roman"/>
                <w:b/>
                <w:sz w:val="20"/>
                <w:szCs w:val="20"/>
              </w:rPr>
              <w:t>8,4</w:t>
            </w:r>
          </w:p>
        </w:tc>
        <w:tc>
          <w:tcPr>
            <w:tcW w:w="711" w:type="dxa"/>
            <w:shd w:val="clear" w:color="auto" w:fill="FFC000"/>
          </w:tcPr>
          <w:p w14:paraId="233F17D0" w14:textId="77777777" w:rsidR="0028280C" w:rsidRPr="00196DA4" w:rsidRDefault="0028280C" w:rsidP="00E43F48">
            <w:pPr>
              <w:pStyle w:val="Sansinterligne"/>
              <w:rPr>
                <w:rFonts w:ascii="Times New Roman" w:hAnsi="Times New Roman" w:cs="Times New Roman"/>
                <w:b/>
                <w:sz w:val="20"/>
                <w:szCs w:val="20"/>
              </w:rPr>
            </w:pPr>
            <w:r w:rsidRPr="00196DA4">
              <w:rPr>
                <w:rFonts w:ascii="Times New Roman" w:hAnsi="Times New Roman" w:cs="Times New Roman"/>
                <w:b/>
                <w:sz w:val="20"/>
                <w:szCs w:val="20"/>
              </w:rPr>
              <w:t>81,4</w:t>
            </w:r>
          </w:p>
        </w:tc>
        <w:tc>
          <w:tcPr>
            <w:tcW w:w="866" w:type="dxa"/>
            <w:shd w:val="clear" w:color="auto" w:fill="FFC000"/>
          </w:tcPr>
          <w:p w14:paraId="46815BFB" w14:textId="77777777" w:rsidR="0028280C" w:rsidRPr="00196DA4" w:rsidRDefault="0028280C" w:rsidP="00E43F48">
            <w:pPr>
              <w:pStyle w:val="Sansinterligne"/>
              <w:rPr>
                <w:rFonts w:ascii="Times New Roman" w:hAnsi="Times New Roman" w:cs="Times New Roman"/>
                <w:b/>
                <w:sz w:val="20"/>
                <w:szCs w:val="20"/>
              </w:rPr>
            </w:pPr>
            <w:r w:rsidRPr="00196DA4">
              <w:rPr>
                <w:rFonts w:ascii="Times New Roman" w:hAnsi="Times New Roman" w:cs="Times New Roman"/>
                <w:b/>
                <w:sz w:val="20"/>
                <w:szCs w:val="20"/>
              </w:rPr>
              <w:t>671,5</w:t>
            </w:r>
          </w:p>
        </w:tc>
        <w:tc>
          <w:tcPr>
            <w:tcW w:w="711" w:type="dxa"/>
            <w:shd w:val="clear" w:color="auto" w:fill="FFC000"/>
          </w:tcPr>
          <w:p w14:paraId="6BB288B8" w14:textId="77777777" w:rsidR="0028280C" w:rsidRPr="00196DA4" w:rsidRDefault="0028280C" w:rsidP="00E43F48">
            <w:pPr>
              <w:pStyle w:val="Sansinterligne"/>
              <w:rPr>
                <w:rFonts w:ascii="Times New Roman" w:hAnsi="Times New Roman" w:cs="Times New Roman"/>
                <w:b/>
                <w:sz w:val="20"/>
                <w:szCs w:val="20"/>
              </w:rPr>
            </w:pPr>
            <w:r w:rsidRPr="00196DA4">
              <w:rPr>
                <w:rFonts w:ascii="Times New Roman" w:hAnsi="Times New Roman" w:cs="Times New Roman"/>
                <w:b/>
                <w:sz w:val="20"/>
                <w:szCs w:val="20"/>
              </w:rPr>
              <w:t>99,9</w:t>
            </w:r>
          </w:p>
        </w:tc>
        <w:tc>
          <w:tcPr>
            <w:tcW w:w="711" w:type="dxa"/>
            <w:shd w:val="clear" w:color="auto" w:fill="FFC000"/>
          </w:tcPr>
          <w:p w14:paraId="3B33E132" w14:textId="77777777" w:rsidR="0028280C" w:rsidRPr="00196DA4" w:rsidRDefault="0028280C" w:rsidP="00E43F48">
            <w:pPr>
              <w:pStyle w:val="Sansinterligne"/>
              <w:rPr>
                <w:rFonts w:ascii="Times New Roman" w:hAnsi="Times New Roman" w:cs="Times New Roman"/>
                <w:b/>
                <w:sz w:val="20"/>
                <w:szCs w:val="20"/>
              </w:rPr>
            </w:pPr>
            <w:r w:rsidRPr="00196DA4">
              <w:rPr>
                <w:rFonts w:ascii="Times New Roman" w:hAnsi="Times New Roman" w:cs="Times New Roman"/>
                <w:b/>
                <w:sz w:val="20"/>
                <w:szCs w:val="20"/>
              </w:rPr>
              <w:t>68,1</w:t>
            </w:r>
          </w:p>
        </w:tc>
        <w:tc>
          <w:tcPr>
            <w:tcW w:w="785" w:type="dxa"/>
            <w:shd w:val="clear" w:color="auto" w:fill="FFC000"/>
          </w:tcPr>
          <w:p w14:paraId="505319CC" w14:textId="77777777" w:rsidR="0028280C" w:rsidRPr="00196DA4" w:rsidRDefault="0028280C" w:rsidP="00E43F48">
            <w:pPr>
              <w:pStyle w:val="Sansinterligne"/>
              <w:rPr>
                <w:rFonts w:ascii="Times New Roman" w:hAnsi="Times New Roman" w:cs="Times New Roman"/>
                <w:b/>
                <w:sz w:val="20"/>
                <w:szCs w:val="20"/>
              </w:rPr>
            </w:pPr>
            <w:r w:rsidRPr="00196DA4">
              <w:rPr>
                <w:rFonts w:ascii="Times New Roman" w:hAnsi="Times New Roman" w:cs="Times New Roman"/>
                <w:b/>
                <w:sz w:val="20"/>
                <w:szCs w:val="20"/>
              </w:rPr>
              <w:t>53,8</w:t>
            </w:r>
          </w:p>
        </w:tc>
        <w:tc>
          <w:tcPr>
            <w:tcW w:w="786" w:type="dxa"/>
            <w:shd w:val="clear" w:color="auto" w:fill="FFC000"/>
          </w:tcPr>
          <w:p w14:paraId="1F1190C3" w14:textId="77777777" w:rsidR="0028280C" w:rsidRPr="00196DA4" w:rsidRDefault="0028280C" w:rsidP="00E43F48">
            <w:pPr>
              <w:pStyle w:val="Sansinterligne"/>
              <w:rPr>
                <w:rFonts w:ascii="Times New Roman" w:hAnsi="Times New Roman" w:cs="Times New Roman"/>
                <w:b/>
                <w:sz w:val="20"/>
                <w:szCs w:val="20"/>
              </w:rPr>
            </w:pPr>
            <w:r w:rsidRPr="00196DA4">
              <w:rPr>
                <w:rFonts w:ascii="Times New Roman" w:hAnsi="Times New Roman" w:cs="Times New Roman"/>
                <w:b/>
                <w:sz w:val="20"/>
                <w:szCs w:val="20"/>
              </w:rPr>
              <w:t>102,3</w:t>
            </w:r>
          </w:p>
        </w:tc>
        <w:tc>
          <w:tcPr>
            <w:tcW w:w="785" w:type="dxa"/>
            <w:shd w:val="clear" w:color="auto" w:fill="FFC000"/>
          </w:tcPr>
          <w:p w14:paraId="7FEB40A8" w14:textId="77777777" w:rsidR="0028280C" w:rsidRPr="00196DA4" w:rsidRDefault="0028280C" w:rsidP="00E43F48">
            <w:pPr>
              <w:pStyle w:val="Sansinterligne"/>
              <w:rPr>
                <w:rFonts w:ascii="Times New Roman" w:hAnsi="Times New Roman" w:cs="Times New Roman"/>
                <w:b/>
                <w:sz w:val="20"/>
                <w:szCs w:val="20"/>
              </w:rPr>
            </w:pPr>
            <w:r w:rsidRPr="00196DA4">
              <w:rPr>
                <w:rFonts w:ascii="Times New Roman" w:hAnsi="Times New Roman" w:cs="Times New Roman"/>
                <w:b/>
                <w:sz w:val="20"/>
                <w:szCs w:val="20"/>
              </w:rPr>
              <w:t>51,0</w:t>
            </w:r>
          </w:p>
        </w:tc>
        <w:tc>
          <w:tcPr>
            <w:tcW w:w="711" w:type="dxa"/>
            <w:shd w:val="clear" w:color="auto" w:fill="FFC000"/>
          </w:tcPr>
          <w:p w14:paraId="7F1C7998" w14:textId="77777777" w:rsidR="0028280C" w:rsidRPr="00196DA4" w:rsidRDefault="0028280C" w:rsidP="00E43F48">
            <w:pPr>
              <w:pStyle w:val="Sansinterligne"/>
              <w:rPr>
                <w:rFonts w:ascii="Times New Roman" w:hAnsi="Times New Roman" w:cs="Times New Roman"/>
                <w:b/>
                <w:sz w:val="20"/>
                <w:szCs w:val="20"/>
              </w:rPr>
            </w:pPr>
            <w:r w:rsidRPr="00196DA4">
              <w:rPr>
                <w:rFonts w:ascii="Times New Roman" w:hAnsi="Times New Roman" w:cs="Times New Roman"/>
                <w:b/>
                <w:sz w:val="20"/>
                <w:szCs w:val="20"/>
              </w:rPr>
              <w:t>77,2</w:t>
            </w:r>
          </w:p>
        </w:tc>
      </w:tr>
      <w:tr w:rsidR="0028280C" w:rsidRPr="00196DA4" w14:paraId="3EA9DE04" w14:textId="77777777" w:rsidTr="00E43F48">
        <w:trPr>
          <w:trHeight w:val="254"/>
        </w:trPr>
        <w:tc>
          <w:tcPr>
            <w:tcW w:w="2191" w:type="dxa"/>
          </w:tcPr>
          <w:p w14:paraId="5EF1DD04"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 xml:space="preserve">  Mali</w:t>
            </w:r>
          </w:p>
        </w:tc>
        <w:tc>
          <w:tcPr>
            <w:tcW w:w="787" w:type="dxa"/>
          </w:tcPr>
          <w:p w14:paraId="7FB8CF19"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4,1%</w:t>
            </w:r>
          </w:p>
        </w:tc>
        <w:tc>
          <w:tcPr>
            <w:tcW w:w="777" w:type="dxa"/>
          </w:tcPr>
          <w:p w14:paraId="6FEDF175"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0,4%</w:t>
            </w:r>
          </w:p>
        </w:tc>
        <w:tc>
          <w:tcPr>
            <w:tcW w:w="711" w:type="dxa"/>
          </w:tcPr>
          <w:p w14:paraId="16550D9E"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71,3%</w:t>
            </w:r>
          </w:p>
        </w:tc>
        <w:tc>
          <w:tcPr>
            <w:tcW w:w="866" w:type="dxa"/>
          </w:tcPr>
          <w:p w14:paraId="57F82077"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1,1%</w:t>
            </w:r>
          </w:p>
        </w:tc>
        <w:tc>
          <w:tcPr>
            <w:tcW w:w="711" w:type="dxa"/>
          </w:tcPr>
          <w:p w14:paraId="65026CAA"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3,6%</w:t>
            </w:r>
          </w:p>
        </w:tc>
        <w:tc>
          <w:tcPr>
            <w:tcW w:w="711" w:type="dxa"/>
          </w:tcPr>
          <w:p w14:paraId="290FA421"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21,0%</w:t>
            </w:r>
          </w:p>
        </w:tc>
        <w:tc>
          <w:tcPr>
            <w:tcW w:w="785" w:type="dxa"/>
          </w:tcPr>
          <w:p w14:paraId="58184ED1"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58,7%</w:t>
            </w:r>
          </w:p>
        </w:tc>
        <w:tc>
          <w:tcPr>
            <w:tcW w:w="786" w:type="dxa"/>
          </w:tcPr>
          <w:p w14:paraId="3794970C"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55,7%</w:t>
            </w:r>
          </w:p>
        </w:tc>
        <w:tc>
          <w:tcPr>
            <w:tcW w:w="785" w:type="dxa"/>
          </w:tcPr>
          <w:p w14:paraId="5A736925"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65,8%</w:t>
            </w:r>
          </w:p>
        </w:tc>
        <w:tc>
          <w:tcPr>
            <w:tcW w:w="711" w:type="dxa"/>
          </w:tcPr>
          <w:p w14:paraId="18959CB7"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67,5%</w:t>
            </w:r>
          </w:p>
        </w:tc>
      </w:tr>
      <w:tr w:rsidR="0028280C" w:rsidRPr="00196DA4" w14:paraId="7E84351E" w14:textId="77777777" w:rsidTr="00E43F48">
        <w:trPr>
          <w:trHeight w:val="243"/>
        </w:trPr>
        <w:tc>
          <w:tcPr>
            <w:tcW w:w="2191" w:type="dxa"/>
          </w:tcPr>
          <w:p w14:paraId="15B70883"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 xml:space="preserve">  Burkina-Faso</w:t>
            </w:r>
          </w:p>
        </w:tc>
        <w:tc>
          <w:tcPr>
            <w:tcW w:w="787" w:type="dxa"/>
          </w:tcPr>
          <w:p w14:paraId="29CE40E3"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39,7%</w:t>
            </w:r>
          </w:p>
        </w:tc>
        <w:tc>
          <w:tcPr>
            <w:tcW w:w="777" w:type="dxa"/>
          </w:tcPr>
          <w:p w14:paraId="689C2040"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11,9%</w:t>
            </w:r>
          </w:p>
        </w:tc>
        <w:tc>
          <w:tcPr>
            <w:tcW w:w="711" w:type="dxa"/>
          </w:tcPr>
          <w:p w14:paraId="488E24A5"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22,9%</w:t>
            </w:r>
          </w:p>
        </w:tc>
        <w:tc>
          <w:tcPr>
            <w:tcW w:w="866" w:type="dxa"/>
          </w:tcPr>
          <w:p w14:paraId="1020AF47"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95,8%</w:t>
            </w:r>
          </w:p>
        </w:tc>
        <w:tc>
          <w:tcPr>
            <w:tcW w:w="711" w:type="dxa"/>
          </w:tcPr>
          <w:p w14:paraId="50F0E865"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83,0%</w:t>
            </w:r>
          </w:p>
        </w:tc>
        <w:tc>
          <w:tcPr>
            <w:tcW w:w="711" w:type="dxa"/>
          </w:tcPr>
          <w:p w14:paraId="45104DF9"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59,4%</w:t>
            </w:r>
          </w:p>
        </w:tc>
        <w:tc>
          <w:tcPr>
            <w:tcW w:w="785" w:type="dxa"/>
          </w:tcPr>
          <w:p w14:paraId="1D8C16C9"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35,4%</w:t>
            </w:r>
          </w:p>
        </w:tc>
        <w:tc>
          <w:tcPr>
            <w:tcW w:w="786" w:type="dxa"/>
          </w:tcPr>
          <w:p w14:paraId="2252E1E1"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24,4%</w:t>
            </w:r>
          </w:p>
        </w:tc>
        <w:tc>
          <w:tcPr>
            <w:tcW w:w="785" w:type="dxa"/>
          </w:tcPr>
          <w:p w14:paraId="60B04BCE"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29,2%</w:t>
            </w:r>
          </w:p>
        </w:tc>
        <w:tc>
          <w:tcPr>
            <w:tcW w:w="711" w:type="dxa"/>
          </w:tcPr>
          <w:p w14:paraId="6658FA38"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22,6%</w:t>
            </w:r>
          </w:p>
        </w:tc>
      </w:tr>
      <w:tr w:rsidR="0028280C" w:rsidRPr="00196DA4" w14:paraId="74D630E2" w14:textId="77777777" w:rsidTr="00E43F48">
        <w:trPr>
          <w:trHeight w:val="243"/>
        </w:trPr>
        <w:tc>
          <w:tcPr>
            <w:tcW w:w="2191" w:type="dxa"/>
          </w:tcPr>
          <w:p w14:paraId="30F6CCFD"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 xml:space="preserve">  Cote D'Ivoire</w:t>
            </w:r>
          </w:p>
        </w:tc>
        <w:tc>
          <w:tcPr>
            <w:tcW w:w="787" w:type="dxa"/>
          </w:tcPr>
          <w:p w14:paraId="0722E0F4"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26,1%</w:t>
            </w:r>
          </w:p>
        </w:tc>
        <w:tc>
          <w:tcPr>
            <w:tcW w:w="777" w:type="dxa"/>
          </w:tcPr>
          <w:p w14:paraId="601C985A"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18,9%</w:t>
            </w:r>
          </w:p>
        </w:tc>
        <w:tc>
          <w:tcPr>
            <w:tcW w:w="711" w:type="dxa"/>
          </w:tcPr>
          <w:p w14:paraId="440D98E0"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1,8%</w:t>
            </w:r>
          </w:p>
        </w:tc>
        <w:tc>
          <w:tcPr>
            <w:tcW w:w="866" w:type="dxa"/>
          </w:tcPr>
          <w:p w14:paraId="58AE9D98"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0,6%</w:t>
            </w:r>
          </w:p>
        </w:tc>
        <w:tc>
          <w:tcPr>
            <w:tcW w:w="711" w:type="dxa"/>
          </w:tcPr>
          <w:p w14:paraId="3DE0B05A"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0,2%</w:t>
            </w:r>
          </w:p>
        </w:tc>
        <w:tc>
          <w:tcPr>
            <w:tcW w:w="711" w:type="dxa"/>
          </w:tcPr>
          <w:p w14:paraId="6FDA4841"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4,6%</w:t>
            </w:r>
          </w:p>
        </w:tc>
        <w:tc>
          <w:tcPr>
            <w:tcW w:w="785" w:type="dxa"/>
          </w:tcPr>
          <w:p w14:paraId="2412E478"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1,3%</w:t>
            </w:r>
          </w:p>
        </w:tc>
        <w:tc>
          <w:tcPr>
            <w:tcW w:w="786" w:type="dxa"/>
          </w:tcPr>
          <w:p w14:paraId="03D39701"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8,4%</w:t>
            </w:r>
          </w:p>
        </w:tc>
        <w:tc>
          <w:tcPr>
            <w:tcW w:w="785" w:type="dxa"/>
          </w:tcPr>
          <w:p w14:paraId="6754B8CF"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0,9%</w:t>
            </w:r>
          </w:p>
        </w:tc>
        <w:tc>
          <w:tcPr>
            <w:tcW w:w="711" w:type="dxa"/>
          </w:tcPr>
          <w:p w14:paraId="3842C6ED"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6,0%</w:t>
            </w:r>
          </w:p>
        </w:tc>
      </w:tr>
      <w:tr w:rsidR="0028280C" w:rsidRPr="00196DA4" w14:paraId="2B6AD888" w14:textId="77777777" w:rsidTr="00E43F48">
        <w:trPr>
          <w:trHeight w:val="254"/>
        </w:trPr>
        <w:tc>
          <w:tcPr>
            <w:tcW w:w="2191" w:type="dxa"/>
          </w:tcPr>
          <w:p w14:paraId="581E568B"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 xml:space="preserve">  Togo</w:t>
            </w:r>
          </w:p>
        </w:tc>
        <w:tc>
          <w:tcPr>
            <w:tcW w:w="787" w:type="dxa"/>
          </w:tcPr>
          <w:p w14:paraId="1EEB09DC"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4,1%</w:t>
            </w:r>
          </w:p>
        </w:tc>
        <w:tc>
          <w:tcPr>
            <w:tcW w:w="777" w:type="dxa"/>
          </w:tcPr>
          <w:p w14:paraId="39E5FDF6"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6,9%</w:t>
            </w:r>
          </w:p>
        </w:tc>
        <w:tc>
          <w:tcPr>
            <w:tcW w:w="711" w:type="dxa"/>
          </w:tcPr>
          <w:p w14:paraId="474C9352"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0,7%</w:t>
            </w:r>
          </w:p>
        </w:tc>
        <w:tc>
          <w:tcPr>
            <w:tcW w:w="866" w:type="dxa"/>
          </w:tcPr>
          <w:p w14:paraId="5FBC792B"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0,6%</w:t>
            </w:r>
          </w:p>
        </w:tc>
        <w:tc>
          <w:tcPr>
            <w:tcW w:w="711" w:type="dxa"/>
          </w:tcPr>
          <w:p w14:paraId="5C81524B"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0,5%</w:t>
            </w:r>
          </w:p>
        </w:tc>
        <w:tc>
          <w:tcPr>
            <w:tcW w:w="711" w:type="dxa"/>
          </w:tcPr>
          <w:p w14:paraId="683EE1C2"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3,2%</w:t>
            </w:r>
          </w:p>
        </w:tc>
        <w:tc>
          <w:tcPr>
            <w:tcW w:w="785" w:type="dxa"/>
          </w:tcPr>
          <w:p w14:paraId="4F67B980"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1,1%</w:t>
            </w:r>
          </w:p>
        </w:tc>
        <w:tc>
          <w:tcPr>
            <w:tcW w:w="786" w:type="dxa"/>
          </w:tcPr>
          <w:p w14:paraId="59443E29"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1,9%</w:t>
            </w:r>
          </w:p>
        </w:tc>
        <w:tc>
          <w:tcPr>
            <w:tcW w:w="785" w:type="dxa"/>
          </w:tcPr>
          <w:p w14:paraId="2A11A2DB"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0,5%</w:t>
            </w:r>
          </w:p>
        </w:tc>
        <w:tc>
          <w:tcPr>
            <w:tcW w:w="711" w:type="dxa"/>
          </w:tcPr>
          <w:p w14:paraId="01A17DFC"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1,7%</w:t>
            </w:r>
          </w:p>
        </w:tc>
      </w:tr>
      <w:tr w:rsidR="0028280C" w:rsidRPr="00196DA4" w14:paraId="659B0E5F" w14:textId="77777777" w:rsidTr="00E43F48">
        <w:trPr>
          <w:trHeight w:val="743"/>
        </w:trPr>
        <w:tc>
          <w:tcPr>
            <w:tcW w:w="2191" w:type="dxa"/>
            <w:shd w:val="clear" w:color="auto" w:fill="92D050"/>
          </w:tcPr>
          <w:p w14:paraId="3D01A4C9"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Exportations totales extra du Niger vers les autres pays de la CEDEAO (en milliards FCFA)</w:t>
            </w:r>
          </w:p>
        </w:tc>
        <w:tc>
          <w:tcPr>
            <w:tcW w:w="787" w:type="dxa"/>
            <w:shd w:val="clear" w:color="auto" w:fill="92D050"/>
          </w:tcPr>
          <w:p w14:paraId="031B8E06"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29,5</w:t>
            </w:r>
          </w:p>
        </w:tc>
        <w:tc>
          <w:tcPr>
            <w:tcW w:w="777" w:type="dxa"/>
            <w:shd w:val="clear" w:color="auto" w:fill="92D050"/>
          </w:tcPr>
          <w:p w14:paraId="532433A0"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41,3</w:t>
            </w:r>
          </w:p>
        </w:tc>
        <w:tc>
          <w:tcPr>
            <w:tcW w:w="711" w:type="dxa"/>
            <w:shd w:val="clear" w:color="auto" w:fill="92D050"/>
          </w:tcPr>
          <w:p w14:paraId="2EDD6ADA"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67,6</w:t>
            </w:r>
          </w:p>
        </w:tc>
        <w:tc>
          <w:tcPr>
            <w:tcW w:w="866" w:type="dxa"/>
            <w:shd w:val="clear" w:color="auto" w:fill="92D050"/>
          </w:tcPr>
          <w:p w14:paraId="7F5902FC"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606,9</w:t>
            </w:r>
          </w:p>
        </w:tc>
        <w:tc>
          <w:tcPr>
            <w:tcW w:w="711" w:type="dxa"/>
            <w:shd w:val="clear" w:color="auto" w:fill="92D050"/>
          </w:tcPr>
          <w:p w14:paraId="14D47CEE"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68,1</w:t>
            </w:r>
          </w:p>
        </w:tc>
        <w:tc>
          <w:tcPr>
            <w:tcW w:w="711" w:type="dxa"/>
            <w:shd w:val="clear" w:color="auto" w:fill="92D050"/>
          </w:tcPr>
          <w:p w14:paraId="36C961D8"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92,6</w:t>
            </w:r>
          </w:p>
        </w:tc>
        <w:tc>
          <w:tcPr>
            <w:tcW w:w="785" w:type="dxa"/>
            <w:shd w:val="clear" w:color="auto" w:fill="92D050"/>
          </w:tcPr>
          <w:p w14:paraId="66BB7BD3"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55,1</w:t>
            </w:r>
          </w:p>
        </w:tc>
        <w:tc>
          <w:tcPr>
            <w:tcW w:w="786" w:type="dxa"/>
            <w:shd w:val="clear" w:color="auto" w:fill="92D050"/>
          </w:tcPr>
          <w:p w14:paraId="418A3E1F"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127,7</w:t>
            </w:r>
          </w:p>
        </w:tc>
        <w:tc>
          <w:tcPr>
            <w:tcW w:w="785" w:type="dxa"/>
            <w:shd w:val="clear" w:color="auto" w:fill="92D050"/>
          </w:tcPr>
          <w:p w14:paraId="6F7DF763"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99,7</w:t>
            </w:r>
          </w:p>
        </w:tc>
        <w:tc>
          <w:tcPr>
            <w:tcW w:w="711" w:type="dxa"/>
            <w:shd w:val="clear" w:color="auto" w:fill="92D050"/>
          </w:tcPr>
          <w:p w14:paraId="4E887FC9"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65,6</w:t>
            </w:r>
          </w:p>
        </w:tc>
      </w:tr>
      <w:tr w:rsidR="0028280C" w:rsidRPr="00196DA4" w14:paraId="4E46A531" w14:textId="77777777" w:rsidTr="00E43F48">
        <w:trPr>
          <w:trHeight w:val="243"/>
        </w:trPr>
        <w:tc>
          <w:tcPr>
            <w:tcW w:w="2191" w:type="dxa"/>
          </w:tcPr>
          <w:p w14:paraId="08832FE0"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 xml:space="preserve">  Nigeria</w:t>
            </w:r>
          </w:p>
        </w:tc>
        <w:tc>
          <w:tcPr>
            <w:tcW w:w="787" w:type="dxa"/>
          </w:tcPr>
          <w:p w14:paraId="2BD0644A"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89,2%</w:t>
            </w:r>
          </w:p>
        </w:tc>
        <w:tc>
          <w:tcPr>
            <w:tcW w:w="777" w:type="dxa"/>
          </w:tcPr>
          <w:p w14:paraId="74A44265"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59,4%</w:t>
            </w:r>
          </w:p>
        </w:tc>
        <w:tc>
          <w:tcPr>
            <w:tcW w:w="711" w:type="dxa"/>
          </w:tcPr>
          <w:p w14:paraId="5C9422E3"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87,8%</w:t>
            </w:r>
          </w:p>
        </w:tc>
        <w:tc>
          <w:tcPr>
            <w:tcW w:w="866" w:type="dxa"/>
          </w:tcPr>
          <w:p w14:paraId="3A0B4498"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98,3%</w:t>
            </w:r>
          </w:p>
        </w:tc>
        <w:tc>
          <w:tcPr>
            <w:tcW w:w="711" w:type="dxa"/>
          </w:tcPr>
          <w:p w14:paraId="5D5344CC"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98,7%</w:t>
            </w:r>
          </w:p>
        </w:tc>
        <w:tc>
          <w:tcPr>
            <w:tcW w:w="711" w:type="dxa"/>
          </w:tcPr>
          <w:p w14:paraId="5E832E2F"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88,6%</w:t>
            </w:r>
          </w:p>
        </w:tc>
        <w:tc>
          <w:tcPr>
            <w:tcW w:w="785" w:type="dxa"/>
          </w:tcPr>
          <w:p w14:paraId="698FA660"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95,7%</w:t>
            </w:r>
          </w:p>
        </w:tc>
        <w:tc>
          <w:tcPr>
            <w:tcW w:w="786" w:type="dxa"/>
          </w:tcPr>
          <w:p w14:paraId="46EEA0E5"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87,0%</w:t>
            </w:r>
          </w:p>
        </w:tc>
        <w:tc>
          <w:tcPr>
            <w:tcW w:w="785" w:type="dxa"/>
          </w:tcPr>
          <w:p w14:paraId="4B9F39DF"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98,6%</w:t>
            </w:r>
          </w:p>
        </w:tc>
        <w:tc>
          <w:tcPr>
            <w:tcW w:w="711" w:type="dxa"/>
          </w:tcPr>
          <w:p w14:paraId="367C0132"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86,3%</w:t>
            </w:r>
          </w:p>
        </w:tc>
      </w:tr>
      <w:tr w:rsidR="0028280C" w:rsidRPr="00196DA4" w14:paraId="49DDB801" w14:textId="77777777" w:rsidTr="00E43F48">
        <w:trPr>
          <w:trHeight w:val="254"/>
        </w:trPr>
        <w:tc>
          <w:tcPr>
            <w:tcW w:w="2191" w:type="dxa"/>
          </w:tcPr>
          <w:p w14:paraId="073C3454"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 xml:space="preserve">  Ghana</w:t>
            </w:r>
          </w:p>
        </w:tc>
        <w:tc>
          <w:tcPr>
            <w:tcW w:w="787" w:type="dxa"/>
          </w:tcPr>
          <w:p w14:paraId="2BB020BB"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10,7%</w:t>
            </w:r>
          </w:p>
        </w:tc>
        <w:tc>
          <w:tcPr>
            <w:tcW w:w="777" w:type="dxa"/>
          </w:tcPr>
          <w:p w14:paraId="1EE471D7"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40,6%</w:t>
            </w:r>
          </w:p>
        </w:tc>
        <w:tc>
          <w:tcPr>
            <w:tcW w:w="711" w:type="dxa"/>
          </w:tcPr>
          <w:p w14:paraId="3CEFF8A8"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12,2%</w:t>
            </w:r>
          </w:p>
        </w:tc>
        <w:tc>
          <w:tcPr>
            <w:tcW w:w="866" w:type="dxa"/>
          </w:tcPr>
          <w:p w14:paraId="5D231DAC"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1,7%</w:t>
            </w:r>
          </w:p>
        </w:tc>
        <w:tc>
          <w:tcPr>
            <w:tcW w:w="711" w:type="dxa"/>
          </w:tcPr>
          <w:p w14:paraId="273624C1"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1,3%</w:t>
            </w:r>
          </w:p>
        </w:tc>
        <w:tc>
          <w:tcPr>
            <w:tcW w:w="711" w:type="dxa"/>
          </w:tcPr>
          <w:p w14:paraId="632CCEB6"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11,4%</w:t>
            </w:r>
          </w:p>
        </w:tc>
        <w:tc>
          <w:tcPr>
            <w:tcW w:w="785" w:type="dxa"/>
          </w:tcPr>
          <w:p w14:paraId="49030AB6"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4,2%</w:t>
            </w:r>
          </w:p>
        </w:tc>
        <w:tc>
          <w:tcPr>
            <w:tcW w:w="786" w:type="dxa"/>
          </w:tcPr>
          <w:p w14:paraId="14BEC5DB"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13,0%</w:t>
            </w:r>
          </w:p>
        </w:tc>
        <w:tc>
          <w:tcPr>
            <w:tcW w:w="785" w:type="dxa"/>
          </w:tcPr>
          <w:p w14:paraId="75B91EF3"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1,4%</w:t>
            </w:r>
          </w:p>
        </w:tc>
        <w:tc>
          <w:tcPr>
            <w:tcW w:w="711" w:type="dxa"/>
          </w:tcPr>
          <w:p w14:paraId="59E5398D"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13,6%</w:t>
            </w:r>
          </w:p>
        </w:tc>
      </w:tr>
      <w:tr w:rsidR="0028280C" w:rsidRPr="00196DA4" w14:paraId="664BEABB" w14:textId="77777777" w:rsidTr="00E43F48">
        <w:trPr>
          <w:trHeight w:val="243"/>
        </w:trPr>
        <w:tc>
          <w:tcPr>
            <w:tcW w:w="2191" w:type="dxa"/>
          </w:tcPr>
          <w:p w14:paraId="59E8D9C6"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 xml:space="preserve">  Guinée</w:t>
            </w:r>
          </w:p>
        </w:tc>
        <w:tc>
          <w:tcPr>
            <w:tcW w:w="787" w:type="dxa"/>
          </w:tcPr>
          <w:p w14:paraId="54F771D8"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0,1%</w:t>
            </w:r>
          </w:p>
        </w:tc>
        <w:tc>
          <w:tcPr>
            <w:tcW w:w="777" w:type="dxa"/>
          </w:tcPr>
          <w:p w14:paraId="33D76168"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0,0%</w:t>
            </w:r>
          </w:p>
        </w:tc>
        <w:tc>
          <w:tcPr>
            <w:tcW w:w="711" w:type="dxa"/>
          </w:tcPr>
          <w:p w14:paraId="68C0A8DF"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0,0%</w:t>
            </w:r>
          </w:p>
        </w:tc>
        <w:tc>
          <w:tcPr>
            <w:tcW w:w="866" w:type="dxa"/>
          </w:tcPr>
          <w:p w14:paraId="421B67E6"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0,0%</w:t>
            </w:r>
          </w:p>
        </w:tc>
        <w:tc>
          <w:tcPr>
            <w:tcW w:w="711" w:type="dxa"/>
          </w:tcPr>
          <w:p w14:paraId="306DCA2F"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0,0%</w:t>
            </w:r>
          </w:p>
        </w:tc>
        <w:tc>
          <w:tcPr>
            <w:tcW w:w="711" w:type="dxa"/>
          </w:tcPr>
          <w:p w14:paraId="7EF22890"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0,0%</w:t>
            </w:r>
          </w:p>
        </w:tc>
        <w:tc>
          <w:tcPr>
            <w:tcW w:w="785" w:type="dxa"/>
          </w:tcPr>
          <w:p w14:paraId="2B0B250F"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0,1%</w:t>
            </w:r>
          </w:p>
        </w:tc>
        <w:tc>
          <w:tcPr>
            <w:tcW w:w="786" w:type="dxa"/>
          </w:tcPr>
          <w:p w14:paraId="659976F4"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0,0%</w:t>
            </w:r>
          </w:p>
        </w:tc>
        <w:tc>
          <w:tcPr>
            <w:tcW w:w="785" w:type="dxa"/>
          </w:tcPr>
          <w:p w14:paraId="4B756BEC"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0,0%</w:t>
            </w:r>
          </w:p>
        </w:tc>
        <w:tc>
          <w:tcPr>
            <w:tcW w:w="711" w:type="dxa"/>
          </w:tcPr>
          <w:p w14:paraId="72BA0B2E"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0,1%</w:t>
            </w:r>
          </w:p>
        </w:tc>
      </w:tr>
      <w:tr w:rsidR="0028280C" w:rsidRPr="00196DA4" w14:paraId="04B731E1" w14:textId="77777777" w:rsidTr="00E43F48">
        <w:trPr>
          <w:trHeight w:val="254"/>
        </w:trPr>
        <w:tc>
          <w:tcPr>
            <w:tcW w:w="2191" w:type="dxa"/>
          </w:tcPr>
          <w:p w14:paraId="0978EE11"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 xml:space="preserve">  Sierra Leone</w:t>
            </w:r>
          </w:p>
        </w:tc>
        <w:tc>
          <w:tcPr>
            <w:tcW w:w="787" w:type="dxa"/>
          </w:tcPr>
          <w:p w14:paraId="7F51A563"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0,0%</w:t>
            </w:r>
          </w:p>
        </w:tc>
        <w:tc>
          <w:tcPr>
            <w:tcW w:w="777" w:type="dxa"/>
          </w:tcPr>
          <w:p w14:paraId="7A42D566"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0,0%</w:t>
            </w:r>
          </w:p>
        </w:tc>
        <w:tc>
          <w:tcPr>
            <w:tcW w:w="711" w:type="dxa"/>
          </w:tcPr>
          <w:p w14:paraId="7101B5CB"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0,0%</w:t>
            </w:r>
          </w:p>
        </w:tc>
        <w:tc>
          <w:tcPr>
            <w:tcW w:w="866" w:type="dxa"/>
          </w:tcPr>
          <w:p w14:paraId="69A823CE"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0,0%</w:t>
            </w:r>
          </w:p>
        </w:tc>
        <w:tc>
          <w:tcPr>
            <w:tcW w:w="711" w:type="dxa"/>
          </w:tcPr>
          <w:p w14:paraId="727287CD"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0,0%</w:t>
            </w:r>
          </w:p>
        </w:tc>
        <w:tc>
          <w:tcPr>
            <w:tcW w:w="711" w:type="dxa"/>
          </w:tcPr>
          <w:p w14:paraId="2ED0A7E1"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0,0%</w:t>
            </w:r>
          </w:p>
        </w:tc>
        <w:tc>
          <w:tcPr>
            <w:tcW w:w="785" w:type="dxa"/>
          </w:tcPr>
          <w:p w14:paraId="15C52581"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0,0%</w:t>
            </w:r>
          </w:p>
        </w:tc>
        <w:tc>
          <w:tcPr>
            <w:tcW w:w="786" w:type="dxa"/>
          </w:tcPr>
          <w:p w14:paraId="473C7345"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0,0%</w:t>
            </w:r>
          </w:p>
        </w:tc>
        <w:tc>
          <w:tcPr>
            <w:tcW w:w="785" w:type="dxa"/>
          </w:tcPr>
          <w:p w14:paraId="751EFAC0"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0,0%</w:t>
            </w:r>
          </w:p>
        </w:tc>
        <w:tc>
          <w:tcPr>
            <w:tcW w:w="711" w:type="dxa"/>
          </w:tcPr>
          <w:p w14:paraId="40868C0A"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0,0%</w:t>
            </w:r>
          </w:p>
        </w:tc>
      </w:tr>
      <w:tr w:rsidR="0028280C" w:rsidRPr="00196DA4" w14:paraId="5C410A56" w14:textId="77777777" w:rsidTr="00E43F48">
        <w:trPr>
          <w:trHeight w:val="243"/>
        </w:trPr>
        <w:tc>
          <w:tcPr>
            <w:tcW w:w="2191" w:type="dxa"/>
          </w:tcPr>
          <w:p w14:paraId="03013AD7"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 xml:space="preserve">  Nigeria</w:t>
            </w:r>
          </w:p>
        </w:tc>
        <w:tc>
          <w:tcPr>
            <w:tcW w:w="787" w:type="dxa"/>
          </w:tcPr>
          <w:p w14:paraId="613B0320"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89,2%</w:t>
            </w:r>
          </w:p>
        </w:tc>
        <w:tc>
          <w:tcPr>
            <w:tcW w:w="777" w:type="dxa"/>
          </w:tcPr>
          <w:p w14:paraId="2FF3C53C"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59,4%</w:t>
            </w:r>
          </w:p>
        </w:tc>
        <w:tc>
          <w:tcPr>
            <w:tcW w:w="711" w:type="dxa"/>
          </w:tcPr>
          <w:p w14:paraId="35E25AC6"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87,8%</w:t>
            </w:r>
          </w:p>
        </w:tc>
        <w:tc>
          <w:tcPr>
            <w:tcW w:w="866" w:type="dxa"/>
          </w:tcPr>
          <w:p w14:paraId="47C13ED0"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98,3%</w:t>
            </w:r>
          </w:p>
        </w:tc>
        <w:tc>
          <w:tcPr>
            <w:tcW w:w="711" w:type="dxa"/>
          </w:tcPr>
          <w:p w14:paraId="5B938615"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98,7%</w:t>
            </w:r>
          </w:p>
        </w:tc>
        <w:tc>
          <w:tcPr>
            <w:tcW w:w="711" w:type="dxa"/>
          </w:tcPr>
          <w:p w14:paraId="458BA946"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88,6%</w:t>
            </w:r>
          </w:p>
        </w:tc>
        <w:tc>
          <w:tcPr>
            <w:tcW w:w="785" w:type="dxa"/>
          </w:tcPr>
          <w:p w14:paraId="19E9AD83"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95,7%</w:t>
            </w:r>
          </w:p>
        </w:tc>
        <w:tc>
          <w:tcPr>
            <w:tcW w:w="786" w:type="dxa"/>
          </w:tcPr>
          <w:p w14:paraId="34B22E37"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87,0%</w:t>
            </w:r>
          </w:p>
        </w:tc>
        <w:tc>
          <w:tcPr>
            <w:tcW w:w="785" w:type="dxa"/>
          </w:tcPr>
          <w:p w14:paraId="32A3D397"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98,6%</w:t>
            </w:r>
          </w:p>
        </w:tc>
        <w:tc>
          <w:tcPr>
            <w:tcW w:w="711" w:type="dxa"/>
          </w:tcPr>
          <w:p w14:paraId="51F91901" w14:textId="77777777" w:rsidR="0028280C" w:rsidRPr="00196DA4" w:rsidRDefault="0028280C" w:rsidP="00E43F48">
            <w:pPr>
              <w:rPr>
                <w:rFonts w:ascii="Times New Roman" w:hAnsi="Times New Roman" w:cs="Times New Roman"/>
                <w:sz w:val="20"/>
                <w:szCs w:val="20"/>
              </w:rPr>
            </w:pPr>
            <w:r w:rsidRPr="00196DA4">
              <w:rPr>
                <w:rFonts w:ascii="Times New Roman" w:hAnsi="Times New Roman" w:cs="Times New Roman"/>
                <w:sz w:val="20"/>
                <w:szCs w:val="20"/>
              </w:rPr>
              <w:t>86,3%</w:t>
            </w:r>
          </w:p>
        </w:tc>
      </w:tr>
      <w:tr w:rsidR="0028280C" w:rsidRPr="00196DA4" w14:paraId="05692DCE" w14:textId="77777777" w:rsidTr="00E43F48">
        <w:trPr>
          <w:trHeight w:val="498"/>
        </w:trPr>
        <w:tc>
          <w:tcPr>
            <w:tcW w:w="2191" w:type="dxa"/>
            <w:shd w:val="clear" w:color="auto" w:fill="FFFF00"/>
          </w:tcPr>
          <w:p w14:paraId="46367051"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Nigeria (montant en milliards FCFA)</w:t>
            </w:r>
          </w:p>
        </w:tc>
        <w:tc>
          <w:tcPr>
            <w:tcW w:w="787" w:type="dxa"/>
            <w:shd w:val="clear" w:color="auto" w:fill="FFFF00"/>
          </w:tcPr>
          <w:p w14:paraId="317F9C8F"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 xml:space="preserve"> 26,3   </w:t>
            </w:r>
          </w:p>
        </w:tc>
        <w:tc>
          <w:tcPr>
            <w:tcW w:w="777" w:type="dxa"/>
            <w:shd w:val="clear" w:color="auto" w:fill="FFFF00"/>
          </w:tcPr>
          <w:p w14:paraId="07A5D838"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 xml:space="preserve"> 24,5   </w:t>
            </w:r>
          </w:p>
        </w:tc>
        <w:tc>
          <w:tcPr>
            <w:tcW w:w="711" w:type="dxa"/>
            <w:shd w:val="clear" w:color="auto" w:fill="FFFF00"/>
          </w:tcPr>
          <w:p w14:paraId="00648DA7"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 xml:space="preserve"> 59,4   </w:t>
            </w:r>
          </w:p>
        </w:tc>
        <w:tc>
          <w:tcPr>
            <w:tcW w:w="866" w:type="dxa"/>
            <w:shd w:val="clear" w:color="auto" w:fill="FFFF00"/>
          </w:tcPr>
          <w:p w14:paraId="2C9AE0B6"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 xml:space="preserve"> 596,5   </w:t>
            </w:r>
          </w:p>
        </w:tc>
        <w:tc>
          <w:tcPr>
            <w:tcW w:w="711" w:type="dxa"/>
            <w:shd w:val="clear" w:color="auto" w:fill="FFFF00"/>
          </w:tcPr>
          <w:p w14:paraId="4CAB83EE"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 xml:space="preserve"> 67,2   </w:t>
            </w:r>
          </w:p>
        </w:tc>
        <w:tc>
          <w:tcPr>
            <w:tcW w:w="711" w:type="dxa"/>
            <w:shd w:val="clear" w:color="auto" w:fill="FFFF00"/>
          </w:tcPr>
          <w:p w14:paraId="6AF11335"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 xml:space="preserve"> 82,0   </w:t>
            </w:r>
          </w:p>
        </w:tc>
        <w:tc>
          <w:tcPr>
            <w:tcW w:w="785" w:type="dxa"/>
            <w:shd w:val="clear" w:color="auto" w:fill="FFFF00"/>
          </w:tcPr>
          <w:p w14:paraId="3D7AB89D"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 xml:space="preserve"> 52,8   </w:t>
            </w:r>
          </w:p>
        </w:tc>
        <w:tc>
          <w:tcPr>
            <w:tcW w:w="786" w:type="dxa"/>
            <w:shd w:val="clear" w:color="auto" w:fill="FFFF00"/>
          </w:tcPr>
          <w:p w14:paraId="2809294A"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 xml:space="preserve"> 111,0   </w:t>
            </w:r>
          </w:p>
        </w:tc>
        <w:tc>
          <w:tcPr>
            <w:tcW w:w="785" w:type="dxa"/>
            <w:shd w:val="clear" w:color="auto" w:fill="FFFF00"/>
          </w:tcPr>
          <w:p w14:paraId="0281D5F3"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 xml:space="preserve"> 98,3   </w:t>
            </w:r>
          </w:p>
        </w:tc>
        <w:tc>
          <w:tcPr>
            <w:tcW w:w="711" w:type="dxa"/>
            <w:shd w:val="clear" w:color="auto" w:fill="FFFF00"/>
          </w:tcPr>
          <w:p w14:paraId="49F98B7E" w14:textId="77777777" w:rsidR="0028280C" w:rsidRPr="00196DA4" w:rsidRDefault="0028280C" w:rsidP="00E43F48">
            <w:pPr>
              <w:rPr>
                <w:rFonts w:ascii="Times New Roman" w:hAnsi="Times New Roman" w:cs="Times New Roman"/>
                <w:b/>
                <w:sz w:val="20"/>
                <w:szCs w:val="20"/>
              </w:rPr>
            </w:pPr>
            <w:r w:rsidRPr="00196DA4">
              <w:rPr>
                <w:rFonts w:ascii="Times New Roman" w:hAnsi="Times New Roman" w:cs="Times New Roman"/>
                <w:b/>
                <w:sz w:val="20"/>
                <w:szCs w:val="20"/>
              </w:rPr>
              <w:t xml:space="preserve"> 56,6   </w:t>
            </w:r>
          </w:p>
        </w:tc>
      </w:tr>
    </w:tbl>
    <w:p w14:paraId="711C19A1" w14:textId="77777777" w:rsidR="0028280C" w:rsidRPr="00196DA4" w:rsidRDefault="0028280C" w:rsidP="0028280C">
      <w:pPr>
        <w:jc w:val="both"/>
        <w:rPr>
          <w:rFonts w:ascii="Times New Roman" w:hAnsi="Times New Roman" w:cs="Times New Roman"/>
          <w:sz w:val="20"/>
          <w:szCs w:val="20"/>
        </w:rPr>
      </w:pPr>
    </w:p>
    <w:p w14:paraId="5E103371" w14:textId="77777777" w:rsidR="0028280C" w:rsidRPr="00196DA4" w:rsidRDefault="0028280C" w:rsidP="0028280C">
      <w:pPr>
        <w:pStyle w:val="Sansinterligne"/>
        <w:rPr>
          <w:sz w:val="20"/>
          <w:szCs w:val="20"/>
          <w:lang w:val="fr-FR"/>
        </w:rPr>
      </w:pPr>
      <w:bookmarkStart w:id="114" w:name="_Hlk86256455"/>
      <w:r w:rsidRPr="00196DA4">
        <w:rPr>
          <w:sz w:val="20"/>
          <w:szCs w:val="20"/>
          <w:lang w:val="fr-FR"/>
        </w:rPr>
        <w:t>EVOLUTION DES VALEURS DES PRODUITS D’EXPORTATION DU NIGER (en milliards FCFA)</w:t>
      </w:r>
    </w:p>
    <w:tbl>
      <w:tblPr>
        <w:tblW w:w="9639" w:type="dxa"/>
        <w:tblInd w:w="-15" w:type="dxa"/>
        <w:tblCellMar>
          <w:left w:w="70" w:type="dxa"/>
          <w:right w:w="70" w:type="dxa"/>
        </w:tblCellMar>
        <w:tblLook w:val="04A0" w:firstRow="1" w:lastRow="0" w:firstColumn="1" w:lastColumn="0" w:noHBand="0" w:noVBand="1"/>
      </w:tblPr>
      <w:tblGrid>
        <w:gridCol w:w="851"/>
        <w:gridCol w:w="1306"/>
        <w:gridCol w:w="1105"/>
        <w:gridCol w:w="1700"/>
        <w:gridCol w:w="1417"/>
        <w:gridCol w:w="1306"/>
        <w:gridCol w:w="1954"/>
      </w:tblGrid>
      <w:tr w:rsidR="0028280C" w:rsidRPr="00196DA4" w14:paraId="53D84022" w14:textId="77777777" w:rsidTr="00E43F48">
        <w:trPr>
          <w:trHeight w:val="310"/>
        </w:trPr>
        <w:tc>
          <w:tcPr>
            <w:tcW w:w="851" w:type="dxa"/>
            <w:tcBorders>
              <w:top w:val="single" w:sz="12" w:space="0" w:color="auto"/>
              <w:left w:val="single" w:sz="12" w:space="0" w:color="auto"/>
              <w:bottom w:val="single" w:sz="12" w:space="0" w:color="auto"/>
              <w:right w:val="single" w:sz="12" w:space="0" w:color="auto"/>
            </w:tcBorders>
            <w:shd w:val="clear" w:color="auto" w:fill="FFC000"/>
            <w:noWrap/>
            <w:vAlign w:val="bottom"/>
            <w:hideMark/>
          </w:tcPr>
          <w:p w14:paraId="2E925CEE" w14:textId="77777777" w:rsidR="0028280C" w:rsidRPr="00196DA4" w:rsidRDefault="0028280C" w:rsidP="00E43F48">
            <w:pPr>
              <w:pStyle w:val="Sansinterligne"/>
              <w:rPr>
                <w:rFonts w:ascii="Calibri" w:eastAsia="Times New Roman" w:hAnsi="Calibri" w:cs="Calibri"/>
                <w:b/>
                <w:color w:val="000000"/>
                <w:sz w:val="20"/>
                <w:szCs w:val="20"/>
                <w:lang w:val="fr-FR" w:eastAsia="fr-FR"/>
              </w:rPr>
            </w:pPr>
            <w:r w:rsidRPr="00196DA4">
              <w:rPr>
                <w:rFonts w:ascii="Calibri" w:eastAsia="Times New Roman" w:hAnsi="Calibri" w:cs="Calibri"/>
                <w:b/>
                <w:color w:val="000000"/>
                <w:sz w:val="20"/>
                <w:szCs w:val="20"/>
                <w:lang w:val="fr-FR" w:eastAsia="fr-FR"/>
              </w:rPr>
              <w:t> </w:t>
            </w:r>
          </w:p>
        </w:tc>
        <w:tc>
          <w:tcPr>
            <w:tcW w:w="1306" w:type="dxa"/>
            <w:tcBorders>
              <w:top w:val="single" w:sz="12" w:space="0" w:color="auto"/>
              <w:left w:val="nil"/>
              <w:bottom w:val="single" w:sz="12" w:space="0" w:color="auto"/>
              <w:right w:val="single" w:sz="12" w:space="0" w:color="auto"/>
            </w:tcBorders>
            <w:shd w:val="clear" w:color="auto" w:fill="FFC000"/>
            <w:noWrap/>
            <w:hideMark/>
          </w:tcPr>
          <w:p w14:paraId="4003D8FF" w14:textId="77777777" w:rsidR="0028280C" w:rsidRPr="00196DA4" w:rsidRDefault="0028280C" w:rsidP="00E43F48">
            <w:pPr>
              <w:pStyle w:val="Sansinterligne"/>
              <w:rPr>
                <w:rFonts w:ascii="Calibri" w:eastAsia="Times New Roman" w:hAnsi="Calibri" w:cs="Calibri"/>
                <w:b/>
                <w:color w:val="000000"/>
                <w:sz w:val="20"/>
                <w:szCs w:val="20"/>
                <w:lang w:val="fr-FR" w:eastAsia="fr-FR"/>
              </w:rPr>
            </w:pPr>
            <w:r w:rsidRPr="00196DA4">
              <w:rPr>
                <w:rFonts w:ascii="Calibri" w:eastAsia="Times New Roman" w:hAnsi="Calibri" w:cs="Calibri"/>
                <w:b/>
                <w:color w:val="000000"/>
                <w:sz w:val="20"/>
                <w:szCs w:val="20"/>
                <w:lang w:val="fr-FR" w:eastAsia="fr-FR"/>
              </w:rPr>
              <w:t>Total exportations</w:t>
            </w:r>
          </w:p>
        </w:tc>
        <w:tc>
          <w:tcPr>
            <w:tcW w:w="1105" w:type="dxa"/>
            <w:tcBorders>
              <w:top w:val="single" w:sz="12" w:space="0" w:color="auto"/>
              <w:left w:val="nil"/>
              <w:bottom w:val="single" w:sz="12" w:space="0" w:color="auto"/>
              <w:right w:val="single" w:sz="12" w:space="0" w:color="auto"/>
            </w:tcBorders>
            <w:shd w:val="clear" w:color="auto" w:fill="FFC000"/>
            <w:noWrap/>
            <w:hideMark/>
          </w:tcPr>
          <w:p w14:paraId="6EA893DD" w14:textId="77777777" w:rsidR="0028280C" w:rsidRPr="00196DA4" w:rsidRDefault="0028280C" w:rsidP="00E43F48">
            <w:pPr>
              <w:pStyle w:val="Sansinterligne"/>
              <w:rPr>
                <w:rFonts w:ascii="Calibri" w:eastAsia="Times New Roman" w:hAnsi="Calibri" w:cs="Calibri"/>
                <w:b/>
                <w:color w:val="000000"/>
                <w:sz w:val="20"/>
                <w:szCs w:val="20"/>
                <w:lang w:val="fr-FR" w:eastAsia="fr-FR"/>
              </w:rPr>
            </w:pPr>
            <w:r w:rsidRPr="00196DA4">
              <w:rPr>
                <w:rFonts w:ascii="Calibri" w:eastAsia="Times New Roman" w:hAnsi="Calibri" w:cs="Calibri"/>
                <w:b/>
                <w:color w:val="000000"/>
                <w:sz w:val="20"/>
                <w:szCs w:val="20"/>
                <w:lang w:val="fr-FR" w:eastAsia="fr-FR"/>
              </w:rPr>
              <w:t>Pétrole</w:t>
            </w:r>
          </w:p>
        </w:tc>
        <w:tc>
          <w:tcPr>
            <w:tcW w:w="1700" w:type="dxa"/>
            <w:tcBorders>
              <w:top w:val="single" w:sz="12" w:space="0" w:color="auto"/>
              <w:left w:val="nil"/>
              <w:bottom w:val="single" w:sz="12" w:space="0" w:color="auto"/>
              <w:right w:val="single" w:sz="12" w:space="0" w:color="auto"/>
            </w:tcBorders>
            <w:shd w:val="clear" w:color="auto" w:fill="FFC000"/>
            <w:noWrap/>
            <w:hideMark/>
          </w:tcPr>
          <w:p w14:paraId="543D6E55" w14:textId="77777777" w:rsidR="0028280C" w:rsidRPr="00196DA4" w:rsidRDefault="0028280C" w:rsidP="00E43F48">
            <w:pPr>
              <w:pStyle w:val="Sansinterligne"/>
              <w:rPr>
                <w:rFonts w:ascii="Calibri" w:eastAsia="Times New Roman" w:hAnsi="Calibri" w:cs="Calibri"/>
                <w:b/>
                <w:color w:val="000000"/>
                <w:sz w:val="20"/>
                <w:szCs w:val="20"/>
                <w:lang w:val="fr-FR" w:eastAsia="fr-FR"/>
              </w:rPr>
            </w:pPr>
            <w:r w:rsidRPr="00196DA4">
              <w:rPr>
                <w:rFonts w:ascii="Calibri" w:eastAsia="Times New Roman" w:hAnsi="Calibri" w:cs="Calibri"/>
                <w:b/>
                <w:color w:val="000000"/>
                <w:sz w:val="20"/>
                <w:szCs w:val="20"/>
                <w:lang w:val="fr-FR" w:eastAsia="fr-FR"/>
              </w:rPr>
              <w:t>Or</w:t>
            </w:r>
          </w:p>
        </w:tc>
        <w:tc>
          <w:tcPr>
            <w:tcW w:w="1417" w:type="dxa"/>
            <w:tcBorders>
              <w:top w:val="single" w:sz="12" w:space="0" w:color="auto"/>
              <w:left w:val="nil"/>
              <w:bottom w:val="single" w:sz="12" w:space="0" w:color="auto"/>
              <w:right w:val="single" w:sz="12" w:space="0" w:color="auto"/>
            </w:tcBorders>
            <w:shd w:val="clear" w:color="auto" w:fill="FFC000"/>
            <w:noWrap/>
            <w:hideMark/>
          </w:tcPr>
          <w:p w14:paraId="53BEA631" w14:textId="77777777" w:rsidR="0028280C" w:rsidRPr="00196DA4" w:rsidRDefault="0028280C" w:rsidP="00E43F48">
            <w:pPr>
              <w:pStyle w:val="Sansinterligne"/>
              <w:rPr>
                <w:rFonts w:ascii="Calibri" w:eastAsia="Times New Roman" w:hAnsi="Calibri" w:cs="Calibri"/>
                <w:b/>
                <w:color w:val="000000"/>
                <w:sz w:val="20"/>
                <w:szCs w:val="20"/>
                <w:lang w:val="fr-FR" w:eastAsia="fr-FR"/>
              </w:rPr>
            </w:pPr>
            <w:r w:rsidRPr="00196DA4">
              <w:rPr>
                <w:rFonts w:ascii="Calibri" w:eastAsia="Times New Roman" w:hAnsi="Calibri" w:cs="Calibri"/>
                <w:b/>
                <w:color w:val="000000"/>
                <w:sz w:val="20"/>
                <w:szCs w:val="20"/>
                <w:lang w:val="fr-FR" w:eastAsia="fr-FR"/>
              </w:rPr>
              <w:t>Uranium</w:t>
            </w:r>
          </w:p>
        </w:tc>
        <w:tc>
          <w:tcPr>
            <w:tcW w:w="1306" w:type="dxa"/>
            <w:tcBorders>
              <w:top w:val="single" w:sz="12" w:space="0" w:color="auto"/>
              <w:left w:val="nil"/>
              <w:bottom w:val="single" w:sz="12" w:space="0" w:color="auto"/>
              <w:right w:val="single" w:sz="12" w:space="0" w:color="auto"/>
            </w:tcBorders>
            <w:shd w:val="clear" w:color="auto" w:fill="FFC000"/>
            <w:noWrap/>
            <w:hideMark/>
          </w:tcPr>
          <w:p w14:paraId="53FA948B" w14:textId="77777777" w:rsidR="0028280C" w:rsidRPr="00196DA4" w:rsidRDefault="0028280C" w:rsidP="00E43F48">
            <w:pPr>
              <w:pStyle w:val="Sansinterligne"/>
              <w:rPr>
                <w:rFonts w:ascii="Calibri" w:eastAsia="Times New Roman" w:hAnsi="Calibri" w:cs="Calibri"/>
                <w:b/>
                <w:color w:val="000000"/>
                <w:sz w:val="20"/>
                <w:szCs w:val="20"/>
                <w:lang w:val="fr-FR" w:eastAsia="fr-FR"/>
              </w:rPr>
            </w:pPr>
            <w:r w:rsidRPr="00196DA4">
              <w:rPr>
                <w:rFonts w:ascii="Calibri" w:eastAsia="Times New Roman" w:hAnsi="Calibri" w:cs="Calibri"/>
                <w:b/>
                <w:color w:val="000000"/>
                <w:sz w:val="20"/>
                <w:szCs w:val="20"/>
                <w:lang w:val="fr-FR" w:eastAsia="fr-FR"/>
              </w:rPr>
              <w:t>Autres exportations</w:t>
            </w:r>
          </w:p>
        </w:tc>
        <w:tc>
          <w:tcPr>
            <w:tcW w:w="1954" w:type="dxa"/>
            <w:tcBorders>
              <w:top w:val="single" w:sz="12" w:space="0" w:color="auto"/>
              <w:left w:val="nil"/>
              <w:bottom w:val="single" w:sz="12" w:space="0" w:color="auto"/>
              <w:right w:val="single" w:sz="12" w:space="0" w:color="auto"/>
            </w:tcBorders>
            <w:shd w:val="clear" w:color="auto" w:fill="FFFF00"/>
          </w:tcPr>
          <w:p w14:paraId="4F21842B" w14:textId="77777777" w:rsidR="0028280C" w:rsidRPr="00196DA4" w:rsidRDefault="0028280C" w:rsidP="00E43F48">
            <w:pPr>
              <w:pStyle w:val="Sansinterligne"/>
              <w:rPr>
                <w:rFonts w:ascii="Calibri" w:eastAsia="Times New Roman" w:hAnsi="Calibri" w:cs="Calibri"/>
                <w:b/>
                <w:color w:val="000000"/>
                <w:sz w:val="20"/>
                <w:szCs w:val="20"/>
                <w:lang w:val="fr-FR" w:eastAsia="fr-FR"/>
              </w:rPr>
            </w:pPr>
            <w:r w:rsidRPr="00196DA4">
              <w:rPr>
                <w:rFonts w:ascii="Calibri" w:eastAsia="Times New Roman" w:hAnsi="Calibri" w:cs="Calibri"/>
                <w:b/>
                <w:color w:val="000000"/>
                <w:sz w:val="20"/>
                <w:szCs w:val="20"/>
                <w:lang w:val="fr-FR" w:eastAsia="fr-FR"/>
              </w:rPr>
              <w:t>Part des exportations minières et pétrolières dans les exportations totales</w:t>
            </w:r>
          </w:p>
        </w:tc>
      </w:tr>
      <w:tr w:rsidR="0028280C" w:rsidRPr="00196DA4" w14:paraId="3C3C655B" w14:textId="77777777" w:rsidTr="00E43F48">
        <w:trPr>
          <w:trHeight w:val="397"/>
        </w:trPr>
        <w:tc>
          <w:tcPr>
            <w:tcW w:w="851" w:type="dxa"/>
            <w:tcBorders>
              <w:top w:val="nil"/>
              <w:left w:val="single" w:sz="12" w:space="0" w:color="auto"/>
              <w:bottom w:val="single" w:sz="12" w:space="0" w:color="auto"/>
              <w:right w:val="single" w:sz="12" w:space="0" w:color="auto"/>
            </w:tcBorders>
            <w:shd w:val="clear" w:color="auto" w:fill="FFC000"/>
            <w:noWrap/>
            <w:hideMark/>
          </w:tcPr>
          <w:p w14:paraId="2A214260" w14:textId="77777777" w:rsidR="0028280C" w:rsidRPr="00196DA4" w:rsidRDefault="0028280C" w:rsidP="00E43F48">
            <w:pPr>
              <w:pStyle w:val="Sansinterligne"/>
              <w:rPr>
                <w:rFonts w:ascii="Calibri" w:eastAsia="Times New Roman" w:hAnsi="Calibri" w:cs="Calibri"/>
                <w:b/>
                <w:color w:val="000000"/>
                <w:sz w:val="20"/>
                <w:szCs w:val="20"/>
                <w:lang w:val="fr-FR" w:eastAsia="fr-FR"/>
              </w:rPr>
            </w:pPr>
            <w:r w:rsidRPr="00196DA4">
              <w:rPr>
                <w:rFonts w:ascii="Calibri" w:eastAsia="Times New Roman" w:hAnsi="Calibri" w:cs="Calibri"/>
                <w:b/>
                <w:color w:val="000000"/>
                <w:sz w:val="20"/>
                <w:szCs w:val="20"/>
                <w:lang w:val="fr-FR" w:eastAsia="fr-FR"/>
              </w:rPr>
              <w:t>2010</w:t>
            </w:r>
          </w:p>
        </w:tc>
        <w:tc>
          <w:tcPr>
            <w:tcW w:w="1306" w:type="dxa"/>
            <w:tcBorders>
              <w:top w:val="nil"/>
              <w:left w:val="nil"/>
              <w:bottom w:val="single" w:sz="12" w:space="0" w:color="auto"/>
              <w:right w:val="single" w:sz="12" w:space="0" w:color="auto"/>
            </w:tcBorders>
            <w:shd w:val="clear" w:color="auto" w:fill="auto"/>
            <w:noWrap/>
            <w:hideMark/>
          </w:tcPr>
          <w:p w14:paraId="58FC3789"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570,1</w:t>
            </w:r>
          </w:p>
        </w:tc>
        <w:tc>
          <w:tcPr>
            <w:tcW w:w="1105" w:type="dxa"/>
            <w:tcBorders>
              <w:top w:val="nil"/>
              <w:left w:val="nil"/>
              <w:bottom w:val="single" w:sz="12" w:space="0" w:color="auto"/>
              <w:right w:val="single" w:sz="12" w:space="0" w:color="auto"/>
            </w:tcBorders>
            <w:shd w:val="clear" w:color="auto" w:fill="auto"/>
            <w:noWrap/>
            <w:hideMark/>
          </w:tcPr>
          <w:p w14:paraId="5EEB7ABA"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0,0</w:t>
            </w:r>
          </w:p>
        </w:tc>
        <w:tc>
          <w:tcPr>
            <w:tcW w:w="1700" w:type="dxa"/>
            <w:tcBorders>
              <w:top w:val="nil"/>
              <w:left w:val="nil"/>
              <w:bottom w:val="single" w:sz="12" w:space="0" w:color="auto"/>
              <w:right w:val="single" w:sz="12" w:space="0" w:color="auto"/>
            </w:tcBorders>
            <w:shd w:val="clear" w:color="auto" w:fill="auto"/>
            <w:noWrap/>
            <w:hideMark/>
          </w:tcPr>
          <w:p w14:paraId="0AD02A5C"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46,4</w:t>
            </w:r>
          </w:p>
        </w:tc>
        <w:tc>
          <w:tcPr>
            <w:tcW w:w="1417" w:type="dxa"/>
            <w:tcBorders>
              <w:top w:val="nil"/>
              <w:left w:val="nil"/>
              <w:bottom w:val="single" w:sz="12" w:space="0" w:color="auto"/>
              <w:right w:val="single" w:sz="12" w:space="0" w:color="auto"/>
            </w:tcBorders>
            <w:shd w:val="clear" w:color="auto" w:fill="auto"/>
            <w:noWrap/>
            <w:hideMark/>
          </w:tcPr>
          <w:p w14:paraId="6EF5B767"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242,3</w:t>
            </w:r>
          </w:p>
        </w:tc>
        <w:tc>
          <w:tcPr>
            <w:tcW w:w="1306" w:type="dxa"/>
            <w:tcBorders>
              <w:top w:val="nil"/>
              <w:left w:val="nil"/>
              <w:bottom w:val="single" w:sz="12" w:space="0" w:color="auto"/>
              <w:right w:val="single" w:sz="12" w:space="0" w:color="auto"/>
            </w:tcBorders>
            <w:shd w:val="clear" w:color="auto" w:fill="auto"/>
            <w:noWrap/>
            <w:hideMark/>
          </w:tcPr>
          <w:p w14:paraId="6389DC28"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156,5</w:t>
            </w:r>
          </w:p>
        </w:tc>
        <w:tc>
          <w:tcPr>
            <w:tcW w:w="1954" w:type="dxa"/>
            <w:tcBorders>
              <w:top w:val="nil"/>
              <w:left w:val="nil"/>
              <w:bottom w:val="single" w:sz="12" w:space="0" w:color="auto"/>
              <w:right w:val="single" w:sz="12" w:space="0" w:color="auto"/>
            </w:tcBorders>
            <w:shd w:val="clear" w:color="auto" w:fill="FFFF00"/>
          </w:tcPr>
          <w:p w14:paraId="3ACFE08B" w14:textId="77777777" w:rsidR="0028280C" w:rsidRPr="00196DA4" w:rsidRDefault="0028280C" w:rsidP="00E43F48">
            <w:pPr>
              <w:pStyle w:val="Sansinterligne"/>
              <w:rPr>
                <w:rFonts w:ascii="Calibri" w:eastAsia="Times New Roman" w:hAnsi="Calibri" w:cs="Calibri"/>
                <w:color w:val="000000"/>
                <w:sz w:val="20"/>
                <w:szCs w:val="20"/>
                <w:lang w:eastAsia="fr-FR"/>
              </w:rPr>
            </w:pPr>
            <w:r w:rsidRPr="00196DA4">
              <w:rPr>
                <w:rFonts w:ascii="Calibri" w:eastAsia="Times New Roman" w:hAnsi="Calibri" w:cs="Calibri"/>
                <w:color w:val="000000"/>
                <w:sz w:val="20"/>
                <w:szCs w:val="20"/>
                <w:lang w:eastAsia="fr-FR"/>
              </w:rPr>
              <w:t>50,6%</w:t>
            </w:r>
          </w:p>
          <w:p w14:paraId="53E6118E" w14:textId="77777777" w:rsidR="0028280C" w:rsidRPr="00196DA4" w:rsidRDefault="0028280C" w:rsidP="00E43F48">
            <w:pPr>
              <w:pStyle w:val="Sansinterligne"/>
              <w:rPr>
                <w:rFonts w:ascii="Calibri" w:eastAsia="Times New Roman" w:hAnsi="Calibri" w:cs="Calibri"/>
                <w:color w:val="000000"/>
                <w:sz w:val="20"/>
                <w:szCs w:val="20"/>
                <w:lang w:val="fr-FR" w:eastAsia="fr-FR"/>
              </w:rPr>
            </w:pPr>
          </w:p>
        </w:tc>
      </w:tr>
      <w:tr w:rsidR="0028280C" w:rsidRPr="00196DA4" w14:paraId="107A0005" w14:textId="77777777" w:rsidTr="00E43F48">
        <w:trPr>
          <w:trHeight w:val="310"/>
        </w:trPr>
        <w:tc>
          <w:tcPr>
            <w:tcW w:w="851" w:type="dxa"/>
            <w:tcBorders>
              <w:top w:val="nil"/>
              <w:left w:val="single" w:sz="12" w:space="0" w:color="auto"/>
              <w:bottom w:val="single" w:sz="12" w:space="0" w:color="auto"/>
              <w:right w:val="single" w:sz="12" w:space="0" w:color="auto"/>
            </w:tcBorders>
            <w:shd w:val="clear" w:color="auto" w:fill="FFC000"/>
            <w:noWrap/>
            <w:vAlign w:val="bottom"/>
            <w:hideMark/>
          </w:tcPr>
          <w:p w14:paraId="740915B1" w14:textId="77777777" w:rsidR="0028280C" w:rsidRPr="00196DA4" w:rsidRDefault="0028280C" w:rsidP="00E43F48">
            <w:pPr>
              <w:pStyle w:val="Sansinterligne"/>
              <w:rPr>
                <w:rFonts w:ascii="Calibri" w:eastAsia="Times New Roman" w:hAnsi="Calibri" w:cs="Calibri"/>
                <w:b/>
                <w:color w:val="000000"/>
                <w:sz w:val="20"/>
                <w:szCs w:val="20"/>
                <w:lang w:val="fr-FR" w:eastAsia="fr-FR"/>
              </w:rPr>
            </w:pPr>
            <w:r w:rsidRPr="00196DA4">
              <w:rPr>
                <w:rFonts w:ascii="Calibri" w:eastAsia="Times New Roman" w:hAnsi="Calibri" w:cs="Calibri"/>
                <w:b/>
                <w:color w:val="000000"/>
                <w:sz w:val="20"/>
                <w:szCs w:val="20"/>
                <w:lang w:val="fr-FR" w:eastAsia="fr-FR"/>
              </w:rPr>
              <w:t>2011</w:t>
            </w:r>
          </w:p>
        </w:tc>
        <w:tc>
          <w:tcPr>
            <w:tcW w:w="1306" w:type="dxa"/>
            <w:tcBorders>
              <w:top w:val="nil"/>
              <w:left w:val="nil"/>
              <w:bottom w:val="single" w:sz="12" w:space="0" w:color="auto"/>
              <w:right w:val="single" w:sz="12" w:space="0" w:color="auto"/>
            </w:tcBorders>
            <w:shd w:val="clear" w:color="auto" w:fill="auto"/>
            <w:noWrap/>
            <w:vAlign w:val="bottom"/>
            <w:hideMark/>
          </w:tcPr>
          <w:p w14:paraId="1B922C00"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599,4</w:t>
            </w:r>
          </w:p>
        </w:tc>
        <w:tc>
          <w:tcPr>
            <w:tcW w:w="1105" w:type="dxa"/>
            <w:tcBorders>
              <w:top w:val="nil"/>
              <w:left w:val="nil"/>
              <w:bottom w:val="single" w:sz="12" w:space="0" w:color="auto"/>
              <w:right w:val="single" w:sz="12" w:space="0" w:color="auto"/>
            </w:tcBorders>
            <w:shd w:val="clear" w:color="auto" w:fill="auto"/>
            <w:noWrap/>
            <w:vAlign w:val="bottom"/>
            <w:hideMark/>
          </w:tcPr>
          <w:p w14:paraId="51AEC9DA"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0,0</w:t>
            </w:r>
          </w:p>
        </w:tc>
        <w:tc>
          <w:tcPr>
            <w:tcW w:w="1700" w:type="dxa"/>
            <w:tcBorders>
              <w:top w:val="nil"/>
              <w:left w:val="nil"/>
              <w:bottom w:val="single" w:sz="12" w:space="0" w:color="auto"/>
              <w:right w:val="single" w:sz="12" w:space="0" w:color="auto"/>
            </w:tcBorders>
            <w:shd w:val="clear" w:color="auto" w:fill="auto"/>
            <w:noWrap/>
            <w:vAlign w:val="bottom"/>
            <w:hideMark/>
          </w:tcPr>
          <w:p w14:paraId="39827F78"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49,0</w:t>
            </w:r>
          </w:p>
        </w:tc>
        <w:tc>
          <w:tcPr>
            <w:tcW w:w="1417" w:type="dxa"/>
            <w:tcBorders>
              <w:top w:val="nil"/>
              <w:left w:val="nil"/>
              <w:bottom w:val="single" w:sz="12" w:space="0" w:color="auto"/>
              <w:right w:val="single" w:sz="12" w:space="0" w:color="auto"/>
            </w:tcBorders>
            <w:shd w:val="clear" w:color="auto" w:fill="auto"/>
            <w:noWrap/>
            <w:vAlign w:val="bottom"/>
            <w:hideMark/>
          </w:tcPr>
          <w:p w14:paraId="5E60FF2D"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317,1</w:t>
            </w:r>
          </w:p>
        </w:tc>
        <w:tc>
          <w:tcPr>
            <w:tcW w:w="1306" w:type="dxa"/>
            <w:tcBorders>
              <w:top w:val="nil"/>
              <w:left w:val="nil"/>
              <w:bottom w:val="single" w:sz="12" w:space="0" w:color="auto"/>
              <w:right w:val="single" w:sz="12" w:space="0" w:color="auto"/>
            </w:tcBorders>
            <w:shd w:val="clear" w:color="auto" w:fill="auto"/>
            <w:noWrap/>
            <w:vAlign w:val="bottom"/>
            <w:hideMark/>
          </w:tcPr>
          <w:p w14:paraId="4A2A405B"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59,2</w:t>
            </w:r>
          </w:p>
        </w:tc>
        <w:tc>
          <w:tcPr>
            <w:tcW w:w="1954" w:type="dxa"/>
            <w:tcBorders>
              <w:top w:val="nil"/>
              <w:left w:val="nil"/>
              <w:bottom w:val="single" w:sz="12" w:space="0" w:color="auto"/>
              <w:right w:val="single" w:sz="12" w:space="0" w:color="auto"/>
            </w:tcBorders>
            <w:shd w:val="clear" w:color="auto" w:fill="FFFF00"/>
          </w:tcPr>
          <w:p w14:paraId="51F3C92F"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61,1%</w:t>
            </w:r>
          </w:p>
        </w:tc>
      </w:tr>
      <w:tr w:rsidR="0028280C" w:rsidRPr="00196DA4" w14:paraId="6D6E0642" w14:textId="77777777" w:rsidTr="00E43F48">
        <w:trPr>
          <w:trHeight w:val="310"/>
        </w:trPr>
        <w:tc>
          <w:tcPr>
            <w:tcW w:w="851" w:type="dxa"/>
            <w:tcBorders>
              <w:top w:val="nil"/>
              <w:left w:val="single" w:sz="12" w:space="0" w:color="auto"/>
              <w:bottom w:val="single" w:sz="12" w:space="0" w:color="auto"/>
              <w:right w:val="single" w:sz="12" w:space="0" w:color="auto"/>
            </w:tcBorders>
            <w:shd w:val="clear" w:color="auto" w:fill="FFC000"/>
            <w:noWrap/>
            <w:vAlign w:val="bottom"/>
            <w:hideMark/>
          </w:tcPr>
          <w:p w14:paraId="335F8188" w14:textId="77777777" w:rsidR="0028280C" w:rsidRPr="00196DA4" w:rsidRDefault="0028280C" w:rsidP="00E43F48">
            <w:pPr>
              <w:pStyle w:val="Sansinterligne"/>
              <w:rPr>
                <w:rFonts w:ascii="Calibri" w:eastAsia="Times New Roman" w:hAnsi="Calibri" w:cs="Calibri"/>
                <w:b/>
                <w:color w:val="000000"/>
                <w:sz w:val="20"/>
                <w:szCs w:val="20"/>
                <w:lang w:val="fr-FR" w:eastAsia="fr-FR"/>
              </w:rPr>
            </w:pPr>
            <w:r w:rsidRPr="00196DA4">
              <w:rPr>
                <w:rFonts w:ascii="Calibri" w:eastAsia="Times New Roman" w:hAnsi="Calibri" w:cs="Calibri"/>
                <w:b/>
                <w:color w:val="000000"/>
                <w:sz w:val="20"/>
                <w:szCs w:val="20"/>
                <w:lang w:val="fr-FR" w:eastAsia="fr-FR"/>
              </w:rPr>
              <w:t>2012</w:t>
            </w:r>
          </w:p>
        </w:tc>
        <w:tc>
          <w:tcPr>
            <w:tcW w:w="1306" w:type="dxa"/>
            <w:tcBorders>
              <w:top w:val="nil"/>
              <w:left w:val="nil"/>
              <w:bottom w:val="single" w:sz="12" w:space="0" w:color="auto"/>
              <w:right w:val="single" w:sz="12" w:space="0" w:color="auto"/>
            </w:tcBorders>
            <w:shd w:val="clear" w:color="auto" w:fill="auto"/>
            <w:noWrap/>
            <w:vAlign w:val="bottom"/>
            <w:hideMark/>
          </w:tcPr>
          <w:p w14:paraId="71F8FD58"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736,4</w:t>
            </w:r>
          </w:p>
        </w:tc>
        <w:tc>
          <w:tcPr>
            <w:tcW w:w="1105" w:type="dxa"/>
            <w:tcBorders>
              <w:top w:val="nil"/>
              <w:left w:val="nil"/>
              <w:bottom w:val="single" w:sz="12" w:space="0" w:color="auto"/>
              <w:right w:val="single" w:sz="12" w:space="0" w:color="auto"/>
            </w:tcBorders>
            <w:shd w:val="clear" w:color="auto" w:fill="auto"/>
            <w:noWrap/>
            <w:vAlign w:val="bottom"/>
            <w:hideMark/>
          </w:tcPr>
          <w:p w14:paraId="781C08FC"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116,6</w:t>
            </w:r>
          </w:p>
        </w:tc>
        <w:tc>
          <w:tcPr>
            <w:tcW w:w="1700" w:type="dxa"/>
            <w:tcBorders>
              <w:top w:val="nil"/>
              <w:left w:val="nil"/>
              <w:bottom w:val="single" w:sz="12" w:space="0" w:color="auto"/>
              <w:right w:val="single" w:sz="12" w:space="0" w:color="auto"/>
            </w:tcBorders>
            <w:shd w:val="clear" w:color="auto" w:fill="auto"/>
            <w:noWrap/>
            <w:vAlign w:val="bottom"/>
            <w:hideMark/>
          </w:tcPr>
          <w:p w14:paraId="66919AAA"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45,3</w:t>
            </w:r>
          </w:p>
        </w:tc>
        <w:tc>
          <w:tcPr>
            <w:tcW w:w="1417" w:type="dxa"/>
            <w:tcBorders>
              <w:top w:val="nil"/>
              <w:left w:val="nil"/>
              <w:bottom w:val="single" w:sz="12" w:space="0" w:color="auto"/>
              <w:right w:val="single" w:sz="12" w:space="0" w:color="auto"/>
            </w:tcBorders>
            <w:shd w:val="clear" w:color="auto" w:fill="auto"/>
            <w:noWrap/>
            <w:vAlign w:val="bottom"/>
            <w:hideMark/>
          </w:tcPr>
          <w:p w14:paraId="7AE753FB"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338,7</w:t>
            </w:r>
          </w:p>
        </w:tc>
        <w:tc>
          <w:tcPr>
            <w:tcW w:w="1306" w:type="dxa"/>
            <w:tcBorders>
              <w:top w:val="nil"/>
              <w:left w:val="nil"/>
              <w:bottom w:val="single" w:sz="12" w:space="0" w:color="auto"/>
              <w:right w:val="single" w:sz="12" w:space="0" w:color="auto"/>
            </w:tcBorders>
            <w:shd w:val="clear" w:color="auto" w:fill="auto"/>
            <w:noWrap/>
            <w:vAlign w:val="bottom"/>
            <w:hideMark/>
          </w:tcPr>
          <w:p w14:paraId="178DB76D"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96,8</w:t>
            </w:r>
          </w:p>
        </w:tc>
        <w:tc>
          <w:tcPr>
            <w:tcW w:w="1954" w:type="dxa"/>
            <w:tcBorders>
              <w:top w:val="nil"/>
              <w:left w:val="nil"/>
              <w:bottom w:val="single" w:sz="12" w:space="0" w:color="auto"/>
              <w:right w:val="single" w:sz="12" w:space="0" w:color="auto"/>
            </w:tcBorders>
            <w:shd w:val="clear" w:color="auto" w:fill="FFFF00"/>
          </w:tcPr>
          <w:p w14:paraId="32C29229"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68,0%</w:t>
            </w:r>
          </w:p>
        </w:tc>
      </w:tr>
      <w:tr w:rsidR="0028280C" w:rsidRPr="00196DA4" w14:paraId="3C14037C" w14:textId="77777777" w:rsidTr="00E43F48">
        <w:trPr>
          <w:trHeight w:val="310"/>
        </w:trPr>
        <w:tc>
          <w:tcPr>
            <w:tcW w:w="851" w:type="dxa"/>
            <w:tcBorders>
              <w:top w:val="nil"/>
              <w:left w:val="single" w:sz="12" w:space="0" w:color="auto"/>
              <w:bottom w:val="single" w:sz="12" w:space="0" w:color="auto"/>
              <w:right w:val="single" w:sz="12" w:space="0" w:color="auto"/>
            </w:tcBorders>
            <w:shd w:val="clear" w:color="auto" w:fill="FFC000"/>
            <w:noWrap/>
            <w:vAlign w:val="bottom"/>
            <w:hideMark/>
          </w:tcPr>
          <w:p w14:paraId="30F30A3D" w14:textId="77777777" w:rsidR="0028280C" w:rsidRPr="00196DA4" w:rsidRDefault="0028280C" w:rsidP="00E43F48">
            <w:pPr>
              <w:pStyle w:val="Sansinterligne"/>
              <w:rPr>
                <w:rFonts w:ascii="Calibri" w:eastAsia="Times New Roman" w:hAnsi="Calibri" w:cs="Calibri"/>
                <w:b/>
                <w:color w:val="000000"/>
                <w:sz w:val="20"/>
                <w:szCs w:val="20"/>
                <w:lang w:val="fr-FR" w:eastAsia="fr-FR"/>
              </w:rPr>
            </w:pPr>
            <w:r w:rsidRPr="00196DA4">
              <w:rPr>
                <w:rFonts w:ascii="Calibri" w:eastAsia="Times New Roman" w:hAnsi="Calibri" w:cs="Calibri"/>
                <w:b/>
                <w:color w:val="000000"/>
                <w:sz w:val="20"/>
                <w:szCs w:val="20"/>
                <w:lang w:val="fr-FR" w:eastAsia="fr-FR"/>
              </w:rPr>
              <w:t>2013</w:t>
            </w:r>
          </w:p>
        </w:tc>
        <w:tc>
          <w:tcPr>
            <w:tcW w:w="1306" w:type="dxa"/>
            <w:tcBorders>
              <w:top w:val="nil"/>
              <w:left w:val="nil"/>
              <w:bottom w:val="single" w:sz="12" w:space="0" w:color="auto"/>
              <w:right w:val="single" w:sz="12" w:space="0" w:color="auto"/>
            </w:tcBorders>
            <w:shd w:val="clear" w:color="auto" w:fill="auto"/>
            <w:noWrap/>
            <w:vAlign w:val="bottom"/>
            <w:hideMark/>
          </w:tcPr>
          <w:p w14:paraId="76DC8E2A"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784,6</w:t>
            </w:r>
          </w:p>
        </w:tc>
        <w:tc>
          <w:tcPr>
            <w:tcW w:w="1105" w:type="dxa"/>
            <w:tcBorders>
              <w:top w:val="nil"/>
              <w:left w:val="nil"/>
              <w:bottom w:val="single" w:sz="12" w:space="0" w:color="auto"/>
              <w:right w:val="single" w:sz="12" w:space="0" w:color="auto"/>
            </w:tcBorders>
            <w:shd w:val="clear" w:color="auto" w:fill="auto"/>
            <w:noWrap/>
            <w:vAlign w:val="bottom"/>
            <w:hideMark/>
          </w:tcPr>
          <w:p w14:paraId="0646D075"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198,9</w:t>
            </w:r>
          </w:p>
        </w:tc>
        <w:tc>
          <w:tcPr>
            <w:tcW w:w="1700" w:type="dxa"/>
            <w:tcBorders>
              <w:top w:val="nil"/>
              <w:left w:val="nil"/>
              <w:bottom w:val="single" w:sz="12" w:space="0" w:color="auto"/>
              <w:right w:val="single" w:sz="12" w:space="0" w:color="auto"/>
            </w:tcBorders>
            <w:shd w:val="clear" w:color="auto" w:fill="auto"/>
            <w:noWrap/>
            <w:vAlign w:val="bottom"/>
            <w:hideMark/>
          </w:tcPr>
          <w:p w14:paraId="65B7BAE5"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29,7</w:t>
            </w:r>
          </w:p>
        </w:tc>
        <w:tc>
          <w:tcPr>
            <w:tcW w:w="1417" w:type="dxa"/>
            <w:tcBorders>
              <w:top w:val="nil"/>
              <w:left w:val="nil"/>
              <w:bottom w:val="single" w:sz="12" w:space="0" w:color="auto"/>
              <w:right w:val="single" w:sz="12" w:space="0" w:color="auto"/>
            </w:tcBorders>
            <w:shd w:val="clear" w:color="auto" w:fill="auto"/>
            <w:noWrap/>
            <w:vAlign w:val="bottom"/>
            <w:hideMark/>
          </w:tcPr>
          <w:p w14:paraId="5489CB57"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302,8</w:t>
            </w:r>
          </w:p>
        </w:tc>
        <w:tc>
          <w:tcPr>
            <w:tcW w:w="1306" w:type="dxa"/>
            <w:tcBorders>
              <w:top w:val="nil"/>
              <w:left w:val="nil"/>
              <w:bottom w:val="single" w:sz="12" w:space="0" w:color="auto"/>
              <w:right w:val="single" w:sz="12" w:space="0" w:color="auto"/>
            </w:tcBorders>
            <w:shd w:val="clear" w:color="auto" w:fill="auto"/>
            <w:noWrap/>
            <w:vAlign w:val="bottom"/>
            <w:hideMark/>
          </w:tcPr>
          <w:p w14:paraId="454AB4E0"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92,4</w:t>
            </w:r>
          </w:p>
        </w:tc>
        <w:tc>
          <w:tcPr>
            <w:tcW w:w="1954" w:type="dxa"/>
            <w:tcBorders>
              <w:top w:val="nil"/>
              <w:left w:val="nil"/>
              <w:bottom w:val="single" w:sz="12" w:space="0" w:color="auto"/>
              <w:right w:val="single" w:sz="12" w:space="0" w:color="auto"/>
            </w:tcBorders>
            <w:shd w:val="clear" w:color="auto" w:fill="FFFF00"/>
          </w:tcPr>
          <w:p w14:paraId="5E09E145"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67,7%</w:t>
            </w:r>
          </w:p>
        </w:tc>
      </w:tr>
      <w:tr w:rsidR="0028280C" w:rsidRPr="00196DA4" w14:paraId="3D79A91B" w14:textId="77777777" w:rsidTr="00E43F48">
        <w:trPr>
          <w:trHeight w:val="310"/>
        </w:trPr>
        <w:tc>
          <w:tcPr>
            <w:tcW w:w="851" w:type="dxa"/>
            <w:tcBorders>
              <w:top w:val="nil"/>
              <w:left w:val="single" w:sz="12" w:space="0" w:color="auto"/>
              <w:bottom w:val="single" w:sz="12" w:space="0" w:color="auto"/>
              <w:right w:val="single" w:sz="12" w:space="0" w:color="auto"/>
            </w:tcBorders>
            <w:shd w:val="clear" w:color="auto" w:fill="FFC000"/>
            <w:noWrap/>
            <w:vAlign w:val="bottom"/>
            <w:hideMark/>
          </w:tcPr>
          <w:p w14:paraId="66D689B5" w14:textId="77777777" w:rsidR="0028280C" w:rsidRPr="00196DA4" w:rsidRDefault="0028280C" w:rsidP="00E43F48">
            <w:pPr>
              <w:pStyle w:val="Sansinterligne"/>
              <w:rPr>
                <w:rFonts w:ascii="Calibri" w:eastAsia="Times New Roman" w:hAnsi="Calibri" w:cs="Calibri"/>
                <w:b/>
                <w:color w:val="000000"/>
                <w:sz w:val="20"/>
                <w:szCs w:val="20"/>
                <w:lang w:val="fr-FR" w:eastAsia="fr-FR"/>
              </w:rPr>
            </w:pPr>
            <w:r w:rsidRPr="00196DA4">
              <w:rPr>
                <w:rFonts w:ascii="Calibri" w:eastAsia="Times New Roman" w:hAnsi="Calibri" w:cs="Calibri"/>
                <w:b/>
                <w:color w:val="000000"/>
                <w:sz w:val="20"/>
                <w:szCs w:val="20"/>
                <w:lang w:val="fr-FR" w:eastAsia="fr-FR"/>
              </w:rPr>
              <w:t>2014</w:t>
            </w:r>
          </w:p>
        </w:tc>
        <w:tc>
          <w:tcPr>
            <w:tcW w:w="1306" w:type="dxa"/>
            <w:tcBorders>
              <w:top w:val="nil"/>
              <w:left w:val="nil"/>
              <w:bottom w:val="single" w:sz="12" w:space="0" w:color="auto"/>
              <w:right w:val="single" w:sz="12" w:space="0" w:color="auto"/>
            </w:tcBorders>
            <w:shd w:val="clear" w:color="auto" w:fill="auto"/>
            <w:noWrap/>
            <w:vAlign w:val="bottom"/>
            <w:hideMark/>
          </w:tcPr>
          <w:p w14:paraId="4F6DC08A"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715,1</w:t>
            </w:r>
          </w:p>
        </w:tc>
        <w:tc>
          <w:tcPr>
            <w:tcW w:w="1105" w:type="dxa"/>
            <w:tcBorders>
              <w:top w:val="nil"/>
              <w:left w:val="nil"/>
              <w:bottom w:val="single" w:sz="12" w:space="0" w:color="auto"/>
              <w:right w:val="single" w:sz="12" w:space="0" w:color="auto"/>
            </w:tcBorders>
            <w:shd w:val="clear" w:color="auto" w:fill="auto"/>
            <w:noWrap/>
            <w:vAlign w:val="bottom"/>
            <w:hideMark/>
          </w:tcPr>
          <w:p w14:paraId="40805B87"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143,2</w:t>
            </w:r>
          </w:p>
        </w:tc>
        <w:tc>
          <w:tcPr>
            <w:tcW w:w="1700" w:type="dxa"/>
            <w:tcBorders>
              <w:top w:val="nil"/>
              <w:left w:val="nil"/>
              <w:bottom w:val="single" w:sz="12" w:space="0" w:color="auto"/>
              <w:right w:val="single" w:sz="12" w:space="0" w:color="auto"/>
            </w:tcBorders>
            <w:shd w:val="clear" w:color="auto" w:fill="auto"/>
            <w:noWrap/>
            <w:vAlign w:val="bottom"/>
            <w:hideMark/>
          </w:tcPr>
          <w:p w14:paraId="17442B61"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21,7</w:t>
            </w:r>
          </w:p>
        </w:tc>
        <w:tc>
          <w:tcPr>
            <w:tcW w:w="1417" w:type="dxa"/>
            <w:tcBorders>
              <w:top w:val="nil"/>
              <w:left w:val="nil"/>
              <w:bottom w:val="single" w:sz="12" w:space="0" w:color="auto"/>
              <w:right w:val="single" w:sz="12" w:space="0" w:color="auto"/>
            </w:tcBorders>
            <w:shd w:val="clear" w:color="auto" w:fill="auto"/>
            <w:noWrap/>
            <w:vAlign w:val="bottom"/>
            <w:hideMark/>
          </w:tcPr>
          <w:p w14:paraId="2D40D9D8"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240,5</w:t>
            </w:r>
          </w:p>
        </w:tc>
        <w:tc>
          <w:tcPr>
            <w:tcW w:w="1306" w:type="dxa"/>
            <w:tcBorders>
              <w:top w:val="nil"/>
              <w:left w:val="nil"/>
              <w:bottom w:val="single" w:sz="12" w:space="0" w:color="auto"/>
              <w:right w:val="single" w:sz="12" w:space="0" w:color="auto"/>
            </w:tcBorders>
            <w:shd w:val="clear" w:color="auto" w:fill="auto"/>
            <w:noWrap/>
            <w:vAlign w:val="bottom"/>
            <w:hideMark/>
          </w:tcPr>
          <w:p w14:paraId="2BF1F063"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133,0</w:t>
            </w:r>
          </w:p>
        </w:tc>
        <w:tc>
          <w:tcPr>
            <w:tcW w:w="1954" w:type="dxa"/>
            <w:tcBorders>
              <w:top w:val="nil"/>
              <w:left w:val="nil"/>
              <w:bottom w:val="single" w:sz="12" w:space="0" w:color="auto"/>
              <w:right w:val="single" w:sz="12" w:space="0" w:color="auto"/>
            </w:tcBorders>
            <w:shd w:val="clear" w:color="auto" w:fill="FFFF00"/>
          </w:tcPr>
          <w:p w14:paraId="7B9FD34A"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56,7%</w:t>
            </w:r>
          </w:p>
        </w:tc>
      </w:tr>
      <w:tr w:rsidR="0028280C" w:rsidRPr="00196DA4" w14:paraId="342B257F" w14:textId="77777777" w:rsidTr="00E43F48">
        <w:trPr>
          <w:trHeight w:val="310"/>
        </w:trPr>
        <w:tc>
          <w:tcPr>
            <w:tcW w:w="851" w:type="dxa"/>
            <w:tcBorders>
              <w:top w:val="nil"/>
              <w:left w:val="single" w:sz="12" w:space="0" w:color="auto"/>
              <w:bottom w:val="single" w:sz="12" w:space="0" w:color="auto"/>
              <w:right w:val="single" w:sz="12" w:space="0" w:color="auto"/>
            </w:tcBorders>
            <w:shd w:val="clear" w:color="auto" w:fill="FFC000"/>
            <w:noWrap/>
            <w:vAlign w:val="bottom"/>
            <w:hideMark/>
          </w:tcPr>
          <w:p w14:paraId="7F5947F2" w14:textId="77777777" w:rsidR="0028280C" w:rsidRPr="00196DA4" w:rsidRDefault="0028280C" w:rsidP="00E43F48">
            <w:pPr>
              <w:pStyle w:val="Sansinterligne"/>
              <w:rPr>
                <w:rFonts w:ascii="Calibri" w:eastAsia="Times New Roman" w:hAnsi="Calibri" w:cs="Calibri"/>
                <w:b/>
                <w:color w:val="000000"/>
                <w:sz w:val="20"/>
                <w:szCs w:val="20"/>
                <w:lang w:val="fr-FR" w:eastAsia="fr-FR"/>
              </w:rPr>
            </w:pPr>
            <w:r w:rsidRPr="00196DA4">
              <w:rPr>
                <w:rFonts w:ascii="Calibri" w:eastAsia="Times New Roman" w:hAnsi="Calibri" w:cs="Calibri"/>
                <w:b/>
                <w:color w:val="000000"/>
                <w:sz w:val="20"/>
                <w:szCs w:val="20"/>
                <w:lang w:val="fr-FR" w:eastAsia="fr-FR"/>
              </w:rPr>
              <w:t>2015</w:t>
            </w:r>
          </w:p>
        </w:tc>
        <w:tc>
          <w:tcPr>
            <w:tcW w:w="1306" w:type="dxa"/>
            <w:tcBorders>
              <w:top w:val="nil"/>
              <w:left w:val="nil"/>
              <w:bottom w:val="single" w:sz="12" w:space="0" w:color="auto"/>
              <w:right w:val="single" w:sz="12" w:space="0" w:color="auto"/>
            </w:tcBorders>
            <w:shd w:val="clear" w:color="auto" w:fill="auto"/>
            <w:noWrap/>
            <w:vAlign w:val="bottom"/>
            <w:hideMark/>
          </w:tcPr>
          <w:p w14:paraId="1F2A18A2"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643,2</w:t>
            </w:r>
          </w:p>
        </w:tc>
        <w:tc>
          <w:tcPr>
            <w:tcW w:w="1105" w:type="dxa"/>
            <w:tcBorders>
              <w:top w:val="nil"/>
              <w:left w:val="nil"/>
              <w:bottom w:val="single" w:sz="12" w:space="0" w:color="auto"/>
              <w:right w:val="single" w:sz="12" w:space="0" w:color="auto"/>
            </w:tcBorders>
            <w:shd w:val="clear" w:color="auto" w:fill="auto"/>
            <w:noWrap/>
            <w:vAlign w:val="bottom"/>
            <w:hideMark/>
          </w:tcPr>
          <w:p w14:paraId="2CFFD34C"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88,7</w:t>
            </w:r>
          </w:p>
        </w:tc>
        <w:tc>
          <w:tcPr>
            <w:tcW w:w="1700" w:type="dxa"/>
            <w:tcBorders>
              <w:top w:val="nil"/>
              <w:left w:val="nil"/>
              <w:bottom w:val="single" w:sz="12" w:space="0" w:color="auto"/>
              <w:right w:val="single" w:sz="12" w:space="0" w:color="auto"/>
            </w:tcBorders>
            <w:shd w:val="clear" w:color="auto" w:fill="auto"/>
            <w:noWrap/>
            <w:vAlign w:val="bottom"/>
            <w:hideMark/>
          </w:tcPr>
          <w:p w14:paraId="6D59D948"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24,8</w:t>
            </w:r>
          </w:p>
        </w:tc>
        <w:tc>
          <w:tcPr>
            <w:tcW w:w="1417" w:type="dxa"/>
            <w:tcBorders>
              <w:top w:val="nil"/>
              <w:left w:val="nil"/>
              <w:bottom w:val="single" w:sz="12" w:space="0" w:color="auto"/>
              <w:right w:val="single" w:sz="12" w:space="0" w:color="auto"/>
            </w:tcBorders>
            <w:shd w:val="clear" w:color="auto" w:fill="auto"/>
            <w:noWrap/>
            <w:vAlign w:val="bottom"/>
            <w:hideMark/>
          </w:tcPr>
          <w:p w14:paraId="2AF194B8"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240,8</w:t>
            </w:r>
          </w:p>
        </w:tc>
        <w:tc>
          <w:tcPr>
            <w:tcW w:w="1306" w:type="dxa"/>
            <w:tcBorders>
              <w:top w:val="nil"/>
              <w:left w:val="nil"/>
              <w:bottom w:val="single" w:sz="12" w:space="0" w:color="auto"/>
              <w:right w:val="single" w:sz="12" w:space="0" w:color="auto"/>
            </w:tcBorders>
            <w:shd w:val="clear" w:color="auto" w:fill="auto"/>
            <w:noWrap/>
            <w:vAlign w:val="bottom"/>
            <w:hideMark/>
          </w:tcPr>
          <w:p w14:paraId="10E33089"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120,0</w:t>
            </w:r>
          </w:p>
        </w:tc>
        <w:tc>
          <w:tcPr>
            <w:tcW w:w="1954" w:type="dxa"/>
            <w:tcBorders>
              <w:top w:val="nil"/>
              <w:left w:val="nil"/>
              <w:bottom w:val="single" w:sz="12" w:space="0" w:color="auto"/>
              <w:right w:val="single" w:sz="12" w:space="0" w:color="auto"/>
            </w:tcBorders>
            <w:shd w:val="clear" w:color="auto" w:fill="FFFF00"/>
          </w:tcPr>
          <w:p w14:paraId="76C9BB80"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55,1%</w:t>
            </w:r>
          </w:p>
        </w:tc>
      </w:tr>
      <w:tr w:rsidR="0028280C" w:rsidRPr="00196DA4" w14:paraId="7F65E069" w14:textId="77777777" w:rsidTr="00E43F48">
        <w:trPr>
          <w:trHeight w:val="310"/>
        </w:trPr>
        <w:tc>
          <w:tcPr>
            <w:tcW w:w="851" w:type="dxa"/>
            <w:tcBorders>
              <w:top w:val="nil"/>
              <w:left w:val="single" w:sz="12" w:space="0" w:color="auto"/>
              <w:bottom w:val="single" w:sz="12" w:space="0" w:color="auto"/>
              <w:right w:val="single" w:sz="12" w:space="0" w:color="auto"/>
            </w:tcBorders>
            <w:shd w:val="clear" w:color="auto" w:fill="FFC000"/>
            <w:noWrap/>
            <w:vAlign w:val="bottom"/>
            <w:hideMark/>
          </w:tcPr>
          <w:p w14:paraId="764A46AF" w14:textId="77777777" w:rsidR="0028280C" w:rsidRPr="00196DA4" w:rsidRDefault="0028280C" w:rsidP="00E43F48">
            <w:pPr>
              <w:pStyle w:val="Sansinterligne"/>
              <w:rPr>
                <w:rFonts w:ascii="Calibri" w:eastAsia="Times New Roman" w:hAnsi="Calibri" w:cs="Calibri"/>
                <w:b/>
                <w:color w:val="000000"/>
                <w:sz w:val="20"/>
                <w:szCs w:val="20"/>
                <w:lang w:val="fr-FR" w:eastAsia="fr-FR"/>
              </w:rPr>
            </w:pPr>
            <w:r w:rsidRPr="00196DA4">
              <w:rPr>
                <w:rFonts w:ascii="Calibri" w:eastAsia="Times New Roman" w:hAnsi="Calibri" w:cs="Calibri"/>
                <w:b/>
                <w:color w:val="000000"/>
                <w:sz w:val="20"/>
                <w:szCs w:val="20"/>
                <w:lang w:val="fr-FR" w:eastAsia="fr-FR"/>
              </w:rPr>
              <w:t>2016</w:t>
            </w:r>
          </w:p>
        </w:tc>
        <w:tc>
          <w:tcPr>
            <w:tcW w:w="1306" w:type="dxa"/>
            <w:tcBorders>
              <w:top w:val="nil"/>
              <w:left w:val="nil"/>
              <w:bottom w:val="single" w:sz="12" w:space="0" w:color="auto"/>
              <w:right w:val="single" w:sz="12" w:space="0" w:color="auto"/>
            </w:tcBorders>
            <w:shd w:val="clear" w:color="auto" w:fill="auto"/>
            <w:noWrap/>
            <w:vAlign w:val="bottom"/>
            <w:hideMark/>
          </w:tcPr>
          <w:p w14:paraId="1A86A7B4"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611,7</w:t>
            </w:r>
          </w:p>
        </w:tc>
        <w:tc>
          <w:tcPr>
            <w:tcW w:w="1105" w:type="dxa"/>
            <w:tcBorders>
              <w:top w:val="nil"/>
              <w:left w:val="nil"/>
              <w:bottom w:val="single" w:sz="12" w:space="0" w:color="auto"/>
              <w:right w:val="single" w:sz="12" w:space="0" w:color="auto"/>
            </w:tcBorders>
            <w:shd w:val="clear" w:color="auto" w:fill="auto"/>
            <w:noWrap/>
            <w:vAlign w:val="bottom"/>
            <w:hideMark/>
          </w:tcPr>
          <w:p w14:paraId="3ADC6F3F"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91,3</w:t>
            </w:r>
          </w:p>
        </w:tc>
        <w:tc>
          <w:tcPr>
            <w:tcW w:w="1700" w:type="dxa"/>
            <w:tcBorders>
              <w:top w:val="nil"/>
              <w:left w:val="nil"/>
              <w:bottom w:val="single" w:sz="12" w:space="0" w:color="auto"/>
              <w:right w:val="single" w:sz="12" w:space="0" w:color="auto"/>
            </w:tcBorders>
            <w:shd w:val="clear" w:color="auto" w:fill="auto"/>
            <w:noWrap/>
            <w:vAlign w:val="bottom"/>
            <w:hideMark/>
          </w:tcPr>
          <w:p w14:paraId="35A488F9"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24,5</w:t>
            </w:r>
          </w:p>
        </w:tc>
        <w:tc>
          <w:tcPr>
            <w:tcW w:w="1417" w:type="dxa"/>
            <w:tcBorders>
              <w:top w:val="nil"/>
              <w:left w:val="nil"/>
              <w:bottom w:val="single" w:sz="12" w:space="0" w:color="auto"/>
              <w:right w:val="single" w:sz="12" w:space="0" w:color="auto"/>
            </w:tcBorders>
            <w:shd w:val="clear" w:color="auto" w:fill="auto"/>
            <w:noWrap/>
            <w:vAlign w:val="bottom"/>
            <w:hideMark/>
          </w:tcPr>
          <w:p w14:paraId="04277E12"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177,7</w:t>
            </w:r>
          </w:p>
        </w:tc>
        <w:tc>
          <w:tcPr>
            <w:tcW w:w="1306" w:type="dxa"/>
            <w:tcBorders>
              <w:top w:val="nil"/>
              <w:left w:val="nil"/>
              <w:bottom w:val="single" w:sz="12" w:space="0" w:color="auto"/>
              <w:right w:val="single" w:sz="12" w:space="0" w:color="auto"/>
            </w:tcBorders>
            <w:shd w:val="clear" w:color="auto" w:fill="auto"/>
            <w:noWrap/>
            <w:vAlign w:val="bottom"/>
            <w:hideMark/>
          </w:tcPr>
          <w:p w14:paraId="7A1C2232"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128,9</w:t>
            </w:r>
          </w:p>
        </w:tc>
        <w:tc>
          <w:tcPr>
            <w:tcW w:w="1954" w:type="dxa"/>
            <w:tcBorders>
              <w:top w:val="nil"/>
              <w:left w:val="nil"/>
              <w:bottom w:val="single" w:sz="12" w:space="0" w:color="auto"/>
              <w:right w:val="single" w:sz="12" w:space="0" w:color="auto"/>
            </w:tcBorders>
            <w:shd w:val="clear" w:color="auto" w:fill="FFFF00"/>
          </w:tcPr>
          <w:p w14:paraId="2458D812"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48,0%</w:t>
            </w:r>
          </w:p>
        </w:tc>
      </w:tr>
      <w:tr w:rsidR="0028280C" w:rsidRPr="00196DA4" w14:paraId="0EC1AEF4" w14:textId="77777777" w:rsidTr="00E43F48">
        <w:trPr>
          <w:trHeight w:val="310"/>
        </w:trPr>
        <w:tc>
          <w:tcPr>
            <w:tcW w:w="851" w:type="dxa"/>
            <w:tcBorders>
              <w:top w:val="nil"/>
              <w:left w:val="single" w:sz="12" w:space="0" w:color="auto"/>
              <w:bottom w:val="single" w:sz="12" w:space="0" w:color="auto"/>
              <w:right w:val="single" w:sz="12" w:space="0" w:color="auto"/>
            </w:tcBorders>
            <w:shd w:val="clear" w:color="auto" w:fill="FFC000"/>
            <w:noWrap/>
            <w:vAlign w:val="bottom"/>
            <w:hideMark/>
          </w:tcPr>
          <w:p w14:paraId="025F0CFE" w14:textId="77777777" w:rsidR="0028280C" w:rsidRPr="00196DA4" w:rsidRDefault="0028280C" w:rsidP="00E43F48">
            <w:pPr>
              <w:pStyle w:val="Sansinterligne"/>
              <w:rPr>
                <w:rFonts w:ascii="Calibri" w:eastAsia="Times New Roman" w:hAnsi="Calibri" w:cs="Calibri"/>
                <w:b/>
                <w:color w:val="000000"/>
                <w:sz w:val="20"/>
                <w:szCs w:val="20"/>
                <w:lang w:val="fr-FR" w:eastAsia="fr-FR"/>
              </w:rPr>
            </w:pPr>
            <w:r w:rsidRPr="00196DA4">
              <w:rPr>
                <w:rFonts w:ascii="Calibri" w:eastAsia="Times New Roman" w:hAnsi="Calibri" w:cs="Calibri"/>
                <w:b/>
                <w:color w:val="000000"/>
                <w:sz w:val="20"/>
                <w:szCs w:val="20"/>
                <w:lang w:val="fr-FR" w:eastAsia="fr-FR"/>
              </w:rPr>
              <w:t>2017</w:t>
            </w:r>
          </w:p>
        </w:tc>
        <w:tc>
          <w:tcPr>
            <w:tcW w:w="1306" w:type="dxa"/>
            <w:tcBorders>
              <w:top w:val="nil"/>
              <w:left w:val="nil"/>
              <w:bottom w:val="single" w:sz="12" w:space="0" w:color="auto"/>
              <w:right w:val="single" w:sz="12" w:space="0" w:color="auto"/>
            </w:tcBorders>
            <w:shd w:val="clear" w:color="auto" w:fill="auto"/>
            <w:noWrap/>
            <w:vAlign w:val="bottom"/>
            <w:hideMark/>
          </w:tcPr>
          <w:p w14:paraId="13820EAB"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701,8</w:t>
            </w:r>
          </w:p>
        </w:tc>
        <w:tc>
          <w:tcPr>
            <w:tcW w:w="1105" w:type="dxa"/>
            <w:tcBorders>
              <w:top w:val="nil"/>
              <w:left w:val="nil"/>
              <w:bottom w:val="single" w:sz="12" w:space="0" w:color="auto"/>
              <w:right w:val="single" w:sz="12" w:space="0" w:color="auto"/>
            </w:tcBorders>
            <w:shd w:val="clear" w:color="auto" w:fill="auto"/>
            <w:noWrap/>
            <w:vAlign w:val="bottom"/>
            <w:hideMark/>
          </w:tcPr>
          <w:p w14:paraId="7F7977E8"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151,4</w:t>
            </w:r>
          </w:p>
        </w:tc>
        <w:tc>
          <w:tcPr>
            <w:tcW w:w="1700" w:type="dxa"/>
            <w:tcBorders>
              <w:top w:val="nil"/>
              <w:left w:val="nil"/>
              <w:bottom w:val="single" w:sz="12" w:space="0" w:color="auto"/>
              <w:right w:val="single" w:sz="12" w:space="0" w:color="auto"/>
            </w:tcBorders>
            <w:shd w:val="clear" w:color="auto" w:fill="auto"/>
            <w:noWrap/>
            <w:vAlign w:val="bottom"/>
            <w:hideMark/>
          </w:tcPr>
          <w:p w14:paraId="71FA028E"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26,1</w:t>
            </w:r>
          </w:p>
        </w:tc>
        <w:tc>
          <w:tcPr>
            <w:tcW w:w="1417" w:type="dxa"/>
            <w:tcBorders>
              <w:top w:val="nil"/>
              <w:left w:val="nil"/>
              <w:bottom w:val="single" w:sz="12" w:space="0" w:color="auto"/>
              <w:right w:val="single" w:sz="12" w:space="0" w:color="auto"/>
            </w:tcBorders>
            <w:shd w:val="clear" w:color="auto" w:fill="auto"/>
            <w:noWrap/>
            <w:vAlign w:val="bottom"/>
            <w:hideMark/>
          </w:tcPr>
          <w:p w14:paraId="1F40E46B"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169,6</w:t>
            </w:r>
          </w:p>
        </w:tc>
        <w:tc>
          <w:tcPr>
            <w:tcW w:w="1306" w:type="dxa"/>
            <w:tcBorders>
              <w:top w:val="nil"/>
              <w:left w:val="nil"/>
              <w:bottom w:val="single" w:sz="12" w:space="0" w:color="auto"/>
              <w:right w:val="single" w:sz="12" w:space="0" w:color="auto"/>
            </w:tcBorders>
            <w:shd w:val="clear" w:color="auto" w:fill="auto"/>
            <w:noWrap/>
            <w:vAlign w:val="bottom"/>
            <w:hideMark/>
          </w:tcPr>
          <w:p w14:paraId="1787A6D4"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143,5</w:t>
            </w:r>
          </w:p>
        </w:tc>
        <w:tc>
          <w:tcPr>
            <w:tcW w:w="1954" w:type="dxa"/>
            <w:tcBorders>
              <w:top w:val="nil"/>
              <w:left w:val="nil"/>
              <w:bottom w:val="single" w:sz="12" w:space="0" w:color="auto"/>
              <w:right w:val="single" w:sz="12" w:space="0" w:color="auto"/>
            </w:tcBorders>
            <w:shd w:val="clear" w:color="auto" w:fill="FFFF00"/>
          </w:tcPr>
          <w:p w14:paraId="4A17D135"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49,5%</w:t>
            </w:r>
          </w:p>
        </w:tc>
      </w:tr>
      <w:tr w:rsidR="0028280C" w:rsidRPr="00196DA4" w14:paraId="754653AE" w14:textId="77777777" w:rsidTr="00E43F48">
        <w:trPr>
          <w:trHeight w:val="310"/>
        </w:trPr>
        <w:tc>
          <w:tcPr>
            <w:tcW w:w="851" w:type="dxa"/>
            <w:tcBorders>
              <w:top w:val="nil"/>
              <w:left w:val="single" w:sz="12" w:space="0" w:color="auto"/>
              <w:bottom w:val="single" w:sz="12" w:space="0" w:color="auto"/>
              <w:right w:val="single" w:sz="12" w:space="0" w:color="auto"/>
            </w:tcBorders>
            <w:shd w:val="clear" w:color="auto" w:fill="FFC000"/>
            <w:noWrap/>
            <w:vAlign w:val="bottom"/>
            <w:hideMark/>
          </w:tcPr>
          <w:p w14:paraId="3761922B" w14:textId="77777777" w:rsidR="0028280C" w:rsidRPr="00196DA4" w:rsidRDefault="0028280C" w:rsidP="00E43F48">
            <w:pPr>
              <w:pStyle w:val="Sansinterligne"/>
              <w:rPr>
                <w:rFonts w:ascii="Calibri" w:eastAsia="Times New Roman" w:hAnsi="Calibri" w:cs="Calibri"/>
                <w:b/>
                <w:color w:val="000000"/>
                <w:sz w:val="20"/>
                <w:szCs w:val="20"/>
                <w:lang w:val="fr-FR" w:eastAsia="fr-FR"/>
              </w:rPr>
            </w:pPr>
            <w:r w:rsidRPr="00196DA4">
              <w:rPr>
                <w:rFonts w:ascii="Calibri" w:eastAsia="Times New Roman" w:hAnsi="Calibri" w:cs="Calibri"/>
                <w:b/>
                <w:color w:val="000000"/>
                <w:sz w:val="20"/>
                <w:szCs w:val="20"/>
                <w:lang w:val="fr-FR" w:eastAsia="fr-FR"/>
              </w:rPr>
              <w:t>2018</w:t>
            </w:r>
          </w:p>
        </w:tc>
        <w:tc>
          <w:tcPr>
            <w:tcW w:w="1306" w:type="dxa"/>
            <w:tcBorders>
              <w:top w:val="nil"/>
              <w:left w:val="nil"/>
              <w:bottom w:val="single" w:sz="12" w:space="0" w:color="auto"/>
              <w:right w:val="single" w:sz="12" w:space="0" w:color="auto"/>
            </w:tcBorders>
            <w:shd w:val="clear" w:color="auto" w:fill="auto"/>
            <w:noWrap/>
            <w:vAlign w:val="bottom"/>
            <w:hideMark/>
          </w:tcPr>
          <w:p w14:paraId="3531590F"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668,2</w:t>
            </w:r>
          </w:p>
        </w:tc>
        <w:tc>
          <w:tcPr>
            <w:tcW w:w="1105" w:type="dxa"/>
            <w:tcBorders>
              <w:top w:val="nil"/>
              <w:left w:val="nil"/>
              <w:bottom w:val="single" w:sz="12" w:space="0" w:color="auto"/>
              <w:right w:val="single" w:sz="12" w:space="0" w:color="auto"/>
            </w:tcBorders>
            <w:shd w:val="clear" w:color="auto" w:fill="auto"/>
            <w:noWrap/>
            <w:vAlign w:val="bottom"/>
            <w:hideMark/>
          </w:tcPr>
          <w:p w14:paraId="41325B55"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129,3</w:t>
            </w:r>
          </w:p>
        </w:tc>
        <w:tc>
          <w:tcPr>
            <w:tcW w:w="1700" w:type="dxa"/>
            <w:tcBorders>
              <w:top w:val="nil"/>
              <w:left w:val="nil"/>
              <w:bottom w:val="single" w:sz="12" w:space="0" w:color="auto"/>
              <w:right w:val="single" w:sz="12" w:space="0" w:color="auto"/>
            </w:tcBorders>
            <w:shd w:val="clear" w:color="auto" w:fill="auto"/>
            <w:noWrap/>
            <w:vAlign w:val="bottom"/>
            <w:hideMark/>
          </w:tcPr>
          <w:p w14:paraId="43E69F46"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25,4</w:t>
            </w:r>
          </w:p>
        </w:tc>
        <w:tc>
          <w:tcPr>
            <w:tcW w:w="1417" w:type="dxa"/>
            <w:tcBorders>
              <w:top w:val="nil"/>
              <w:left w:val="nil"/>
              <w:bottom w:val="single" w:sz="12" w:space="0" w:color="auto"/>
              <w:right w:val="single" w:sz="12" w:space="0" w:color="auto"/>
            </w:tcBorders>
            <w:shd w:val="clear" w:color="auto" w:fill="auto"/>
            <w:noWrap/>
            <w:vAlign w:val="bottom"/>
            <w:hideMark/>
          </w:tcPr>
          <w:p w14:paraId="017920A4"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117,2</w:t>
            </w:r>
          </w:p>
        </w:tc>
        <w:tc>
          <w:tcPr>
            <w:tcW w:w="1306" w:type="dxa"/>
            <w:tcBorders>
              <w:top w:val="nil"/>
              <w:left w:val="nil"/>
              <w:bottom w:val="single" w:sz="12" w:space="0" w:color="auto"/>
              <w:right w:val="single" w:sz="12" w:space="0" w:color="auto"/>
            </w:tcBorders>
            <w:shd w:val="clear" w:color="auto" w:fill="auto"/>
            <w:noWrap/>
            <w:vAlign w:val="bottom"/>
            <w:hideMark/>
          </w:tcPr>
          <w:p w14:paraId="1EE5EFBF"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157,7</w:t>
            </w:r>
          </w:p>
        </w:tc>
        <w:tc>
          <w:tcPr>
            <w:tcW w:w="1954" w:type="dxa"/>
            <w:tcBorders>
              <w:top w:val="nil"/>
              <w:left w:val="nil"/>
              <w:bottom w:val="single" w:sz="12" w:space="0" w:color="auto"/>
              <w:right w:val="single" w:sz="12" w:space="0" w:color="auto"/>
            </w:tcBorders>
            <w:shd w:val="clear" w:color="auto" w:fill="FFFF00"/>
          </w:tcPr>
          <w:p w14:paraId="762B46C1"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40,7%</w:t>
            </w:r>
          </w:p>
        </w:tc>
      </w:tr>
      <w:tr w:rsidR="0028280C" w:rsidRPr="00196DA4" w14:paraId="0035BBCD" w14:textId="77777777" w:rsidTr="00E43F48">
        <w:trPr>
          <w:trHeight w:val="310"/>
        </w:trPr>
        <w:tc>
          <w:tcPr>
            <w:tcW w:w="851" w:type="dxa"/>
            <w:tcBorders>
              <w:top w:val="nil"/>
              <w:left w:val="single" w:sz="12" w:space="0" w:color="auto"/>
              <w:bottom w:val="single" w:sz="12" w:space="0" w:color="auto"/>
              <w:right w:val="single" w:sz="12" w:space="0" w:color="auto"/>
            </w:tcBorders>
            <w:shd w:val="clear" w:color="auto" w:fill="FFC000"/>
            <w:noWrap/>
            <w:vAlign w:val="bottom"/>
            <w:hideMark/>
          </w:tcPr>
          <w:p w14:paraId="260542A8" w14:textId="77777777" w:rsidR="0028280C" w:rsidRPr="00196DA4" w:rsidRDefault="0028280C" w:rsidP="00E43F48">
            <w:pPr>
              <w:pStyle w:val="Sansinterligne"/>
              <w:rPr>
                <w:rFonts w:ascii="Calibri" w:eastAsia="Times New Roman" w:hAnsi="Calibri" w:cs="Calibri"/>
                <w:b/>
                <w:color w:val="000000"/>
                <w:sz w:val="20"/>
                <w:szCs w:val="20"/>
                <w:lang w:val="fr-FR" w:eastAsia="fr-FR"/>
              </w:rPr>
            </w:pPr>
            <w:r w:rsidRPr="00196DA4">
              <w:rPr>
                <w:rFonts w:ascii="Calibri" w:eastAsia="Times New Roman" w:hAnsi="Calibri" w:cs="Calibri"/>
                <w:b/>
                <w:color w:val="000000"/>
                <w:sz w:val="20"/>
                <w:szCs w:val="20"/>
                <w:lang w:val="fr-FR" w:eastAsia="fr-FR"/>
              </w:rPr>
              <w:t>2019</w:t>
            </w:r>
          </w:p>
        </w:tc>
        <w:tc>
          <w:tcPr>
            <w:tcW w:w="1306" w:type="dxa"/>
            <w:tcBorders>
              <w:top w:val="nil"/>
              <w:left w:val="nil"/>
              <w:bottom w:val="single" w:sz="12" w:space="0" w:color="auto"/>
              <w:right w:val="single" w:sz="12" w:space="0" w:color="auto"/>
            </w:tcBorders>
            <w:shd w:val="clear" w:color="auto" w:fill="auto"/>
            <w:noWrap/>
            <w:vAlign w:val="bottom"/>
            <w:hideMark/>
          </w:tcPr>
          <w:p w14:paraId="32DAF808"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659,7</w:t>
            </w:r>
          </w:p>
        </w:tc>
        <w:tc>
          <w:tcPr>
            <w:tcW w:w="1105" w:type="dxa"/>
            <w:tcBorders>
              <w:top w:val="nil"/>
              <w:left w:val="nil"/>
              <w:bottom w:val="single" w:sz="12" w:space="0" w:color="auto"/>
              <w:right w:val="single" w:sz="12" w:space="0" w:color="auto"/>
            </w:tcBorders>
            <w:shd w:val="clear" w:color="auto" w:fill="auto"/>
            <w:noWrap/>
            <w:vAlign w:val="bottom"/>
            <w:hideMark/>
          </w:tcPr>
          <w:p w14:paraId="156A0BF2"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128,4</w:t>
            </w:r>
          </w:p>
        </w:tc>
        <w:tc>
          <w:tcPr>
            <w:tcW w:w="1700" w:type="dxa"/>
            <w:tcBorders>
              <w:top w:val="nil"/>
              <w:left w:val="nil"/>
              <w:bottom w:val="single" w:sz="12" w:space="0" w:color="auto"/>
              <w:right w:val="single" w:sz="12" w:space="0" w:color="auto"/>
            </w:tcBorders>
            <w:shd w:val="clear" w:color="auto" w:fill="auto"/>
            <w:noWrap/>
            <w:vAlign w:val="bottom"/>
            <w:hideMark/>
          </w:tcPr>
          <w:p w14:paraId="20590FDE"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22,4</w:t>
            </w:r>
          </w:p>
        </w:tc>
        <w:tc>
          <w:tcPr>
            <w:tcW w:w="1417" w:type="dxa"/>
            <w:tcBorders>
              <w:top w:val="nil"/>
              <w:left w:val="nil"/>
              <w:bottom w:val="single" w:sz="12" w:space="0" w:color="auto"/>
              <w:right w:val="single" w:sz="12" w:space="0" w:color="auto"/>
            </w:tcBorders>
            <w:shd w:val="clear" w:color="auto" w:fill="auto"/>
            <w:noWrap/>
            <w:vAlign w:val="bottom"/>
            <w:hideMark/>
          </w:tcPr>
          <w:p w14:paraId="13C28008"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128,5</w:t>
            </w:r>
          </w:p>
        </w:tc>
        <w:tc>
          <w:tcPr>
            <w:tcW w:w="1306" w:type="dxa"/>
            <w:tcBorders>
              <w:top w:val="nil"/>
              <w:left w:val="nil"/>
              <w:bottom w:val="single" w:sz="12" w:space="0" w:color="auto"/>
              <w:right w:val="single" w:sz="12" w:space="0" w:color="auto"/>
            </w:tcBorders>
            <w:shd w:val="clear" w:color="auto" w:fill="auto"/>
            <w:noWrap/>
            <w:vAlign w:val="bottom"/>
            <w:hideMark/>
          </w:tcPr>
          <w:p w14:paraId="27B67837"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142,7</w:t>
            </w:r>
          </w:p>
        </w:tc>
        <w:tc>
          <w:tcPr>
            <w:tcW w:w="1954" w:type="dxa"/>
            <w:tcBorders>
              <w:top w:val="nil"/>
              <w:left w:val="nil"/>
              <w:bottom w:val="single" w:sz="12" w:space="0" w:color="auto"/>
              <w:right w:val="single" w:sz="12" w:space="0" w:color="auto"/>
            </w:tcBorders>
            <w:shd w:val="clear" w:color="auto" w:fill="FFFF00"/>
          </w:tcPr>
          <w:p w14:paraId="1E2EB07F"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42,3%</w:t>
            </w:r>
          </w:p>
        </w:tc>
      </w:tr>
      <w:tr w:rsidR="0028280C" w:rsidRPr="00196DA4" w14:paraId="3CCE1050" w14:textId="77777777" w:rsidTr="00E43F48">
        <w:trPr>
          <w:trHeight w:val="310"/>
        </w:trPr>
        <w:tc>
          <w:tcPr>
            <w:tcW w:w="851" w:type="dxa"/>
            <w:tcBorders>
              <w:top w:val="nil"/>
              <w:left w:val="single" w:sz="12" w:space="0" w:color="auto"/>
              <w:bottom w:val="single" w:sz="12" w:space="0" w:color="auto"/>
              <w:right w:val="single" w:sz="12" w:space="0" w:color="auto"/>
            </w:tcBorders>
            <w:shd w:val="clear" w:color="auto" w:fill="FFC000"/>
            <w:noWrap/>
            <w:vAlign w:val="bottom"/>
            <w:hideMark/>
          </w:tcPr>
          <w:p w14:paraId="28725BC6" w14:textId="77777777" w:rsidR="0028280C" w:rsidRPr="00196DA4" w:rsidRDefault="0028280C" w:rsidP="00E43F48">
            <w:pPr>
              <w:pStyle w:val="Sansinterligne"/>
              <w:rPr>
                <w:rFonts w:ascii="Calibri" w:eastAsia="Times New Roman" w:hAnsi="Calibri" w:cs="Calibri"/>
                <w:b/>
                <w:color w:val="000000"/>
                <w:sz w:val="20"/>
                <w:szCs w:val="20"/>
                <w:lang w:val="fr-FR" w:eastAsia="fr-FR"/>
              </w:rPr>
            </w:pPr>
            <w:r w:rsidRPr="00196DA4">
              <w:rPr>
                <w:rFonts w:ascii="Calibri" w:eastAsia="Times New Roman" w:hAnsi="Calibri" w:cs="Calibri"/>
                <w:b/>
                <w:color w:val="000000"/>
                <w:sz w:val="20"/>
                <w:szCs w:val="20"/>
                <w:lang w:val="fr-FR" w:eastAsia="fr-FR"/>
              </w:rPr>
              <w:t>2020</w:t>
            </w:r>
          </w:p>
        </w:tc>
        <w:tc>
          <w:tcPr>
            <w:tcW w:w="1306" w:type="dxa"/>
            <w:tcBorders>
              <w:top w:val="nil"/>
              <w:left w:val="nil"/>
              <w:bottom w:val="single" w:sz="12" w:space="0" w:color="auto"/>
              <w:right w:val="single" w:sz="12" w:space="0" w:color="auto"/>
            </w:tcBorders>
            <w:shd w:val="clear" w:color="auto" w:fill="auto"/>
            <w:noWrap/>
            <w:vAlign w:val="bottom"/>
            <w:hideMark/>
          </w:tcPr>
          <w:p w14:paraId="46378C87"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574,4</w:t>
            </w:r>
          </w:p>
        </w:tc>
        <w:tc>
          <w:tcPr>
            <w:tcW w:w="1105" w:type="dxa"/>
            <w:tcBorders>
              <w:top w:val="nil"/>
              <w:left w:val="nil"/>
              <w:bottom w:val="single" w:sz="12" w:space="0" w:color="auto"/>
              <w:right w:val="single" w:sz="12" w:space="0" w:color="auto"/>
            </w:tcBorders>
            <w:shd w:val="clear" w:color="auto" w:fill="auto"/>
            <w:noWrap/>
            <w:vAlign w:val="bottom"/>
            <w:hideMark/>
          </w:tcPr>
          <w:p w14:paraId="5C16F7D9"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79,5</w:t>
            </w:r>
          </w:p>
        </w:tc>
        <w:tc>
          <w:tcPr>
            <w:tcW w:w="1700" w:type="dxa"/>
            <w:tcBorders>
              <w:top w:val="nil"/>
              <w:left w:val="nil"/>
              <w:bottom w:val="single" w:sz="12" w:space="0" w:color="auto"/>
              <w:right w:val="single" w:sz="12" w:space="0" w:color="auto"/>
            </w:tcBorders>
            <w:shd w:val="clear" w:color="auto" w:fill="auto"/>
            <w:noWrap/>
            <w:vAlign w:val="bottom"/>
            <w:hideMark/>
          </w:tcPr>
          <w:p w14:paraId="782F33BE"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28,3</w:t>
            </w:r>
          </w:p>
        </w:tc>
        <w:tc>
          <w:tcPr>
            <w:tcW w:w="1417" w:type="dxa"/>
            <w:tcBorders>
              <w:top w:val="nil"/>
              <w:left w:val="nil"/>
              <w:bottom w:val="single" w:sz="12" w:space="0" w:color="auto"/>
              <w:right w:val="single" w:sz="12" w:space="0" w:color="auto"/>
            </w:tcBorders>
            <w:shd w:val="clear" w:color="auto" w:fill="auto"/>
            <w:noWrap/>
            <w:vAlign w:val="bottom"/>
            <w:hideMark/>
          </w:tcPr>
          <w:p w14:paraId="45E10027"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134,4</w:t>
            </w:r>
          </w:p>
        </w:tc>
        <w:tc>
          <w:tcPr>
            <w:tcW w:w="1306" w:type="dxa"/>
            <w:tcBorders>
              <w:top w:val="nil"/>
              <w:left w:val="nil"/>
              <w:bottom w:val="single" w:sz="12" w:space="0" w:color="auto"/>
              <w:right w:val="single" w:sz="12" w:space="0" w:color="auto"/>
            </w:tcBorders>
            <w:shd w:val="clear" w:color="auto" w:fill="auto"/>
            <w:noWrap/>
            <w:vAlign w:val="bottom"/>
            <w:hideMark/>
          </w:tcPr>
          <w:p w14:paraId="63CFA305"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106,5</w:t>
            </w:r>
          </w:p>
        </w:tc>
        <w:tc>
          <w:tcPr>
            <w:tcW w:w="1954" w:type="dxa"/>
            <w:tcBorders>
              <w:top w:val="nil"/>
              <w:left w:val="nil"/>
              <w:bottom w:val="single" w:sz="12" w:space="0" w:color="auto"/>
              <w:right w:val="single" w:sz="12" w:space="0" w:color="auto"/>
            </w:tcBorders>
            <w:shd w:val="clear" w:color="auto" w:fill="FFFF00"/>
          </w:tcPr>
          <w:p w14:paraId="2FADE244" w14:textId="77777777" w:rsidR="0028280C" w:rsidRPr="00196DA4" w:rsidRDefault="0028280C" w:rsidP="00E43F48">
            <w:pPr>
              <w:pStyle w:val="Sansinterligne"/>
              <w:rPr>
                <w:rFonts w:ascii="Calibri" w:eastAsia="Times New Roman" w:hAnsi="Calibri" w:cs="Calibri"/>
                <w:color w:val="000000"/>
                <w:sz w:val="20"/>
                <w:szCs w:val="20"/>
                <w:lang w:val="fr-FR" w:eastAsia="fr-FR"/>
              </w:rPr>
            </w:pPr>
            <w:r w:rsidRPr="00196DA4">
              <w:rPr>
                <w:rFonts w:ascii="Calibri" w:eastAsia="Times New Roman" w:hAnsi="Calibri" w:cs="Calibri"/>
                <w:color w:val="000000"/>
                <w:sz w:val="20"/>
                <w:szCs w:val="20"/>
                <w:lang w:val="fr-FR" w:eastAsia="fr-FR"/>
              </w:rPr>
              <w:t>42,2%</w:t>
            </w:r>
          </w:p>
        </w:tc>
      </w:tr>
    </w:tbl>
    <w:p w14:paraId="48549D16" w14:textId="77777777" w:rsidR="0028280C" w:rsidRPr="006F7377" w:rsidRDefault="0028280C" w:rsidP="0028280C">
      <w:pPr>
        <w:pStyle w:val="Sansinterligne"/>
        <w:rPr>
          <w:b/>
        </w:rPr>
      </w:pPr>
      <w:r w:rsidRPr="006F7377">
        <w:rPr>
          <w:b/>
        </w:rPr>
        <w:t>Source: BCEAO</w:t>
      </w:r>
    </w:p>
    <w:bookmarkEnd w:id="114"/>
    <w:p w14:paraId="711B2E87" w14:textId="77777777" w:rsidR="0028280C" w:rsidRDefault="0028280C" w:rsidP="0028280C">
      <w:pPr>
        <w:jc w:val="both"/>
        <w:rPr>
          <w:rFonts w:ascii="Times New Roman" w:hAnsi="Times New Roman" w:cs="Times New Roman"/>
        </w:rPr>
      </w:pPr>
    </w:p>
    <w:p w14:paraId="3AD4F392" w14:textId="77777777" w:rsidR="0028280C" w:rsidRPr="00D60714" w:rsidRDefault="0028280C" w:rsidP="0028280C">
      <w:pPr>
        <w:ind w:left="-1134"/>
        <w:jc w:val="center"/>
        <w:rPr>
          <w:rFonts w:ascii="Times New Roman" w:hAnsi="Times New Roman" w:cs="Times New Roman"/>
          <w:b/>
          <w:sz w:val="24"/>
          <w:szCs w:val="24"/>
          <w:u w:val="single"/>
        </w:rPr>
      </w:pPr>
      <w:r w:rsidRPr="00D60714">
        <w:rPr>
          <w:rFonts w:ascii="Times New Roman" w:hAnsi="Times New Roman" w:cs="Times New Roman"/>
          <w:b/>
          <w:sz w:val="24"/>
          <w:szCs w:val="24"/>
          <w:u w:val="single"/>
        </w:rPr>
        <w:lastRenderedPageBreak/>
        <w:t>Evolution des valeurs des importations du Niger (en milliards FCFA): 2010-2020</w:t>
      </w:r>
    </w:p>
    <w:tbl>
      <w:tblPr>
        <w:tblW w:w="9450" w:type="dxa"/>
        <w:tblInd w:w="-375" w:type="dxa"/>
        <w:tblCellMar>
          <w:left w:w="70" w:type="dxa"/>
          <w:right w:w="70" w:type="dxa"/>
        </w:tblCellMar>
        <w:tblLook w:val="04A0" w:firstRow="1" w:lastRow="0" w:firstColumn="1" w:lastColumn="0" w:noHBand="0" w:noVBand="1"/>
      </w:tblPr>
      <w:tblGrid>
        <w:gridCol w:w="580"/>
        <w:gridCol w:w="1560"/>
        <w:gridCol w:w="1701"/>
        <w:gridCol w:w="1559"/>
        <w:gridCol w:w="1559"/>
        <w:gridCol w:w="1410"/>
        <w:gridCol w:w="1253"/>
      </w:tblGrid>
      <w:tr w:rsidR="0028280C" w:rsidRPr="003859F5" w14:paraId="22CF9271" w14:textId="77777777" w:rsidTr="00E43F48">
        <w:trPr>
          <w:trHeight w:val="600"/>
        </w:trPr>
        <w:tc>
          <w:tcPr>
            <w:tcW w:w="310" w:type="dxa"/>
            <w:tcBorders>
              <w:top w:val="single" w:sz="12" w:space="0" w:color="auto"/>
              <w:left w:val="single" w:sz="12" w:space="0" w:color="auto"/>
              <w:bottom w:val="single" w:sz="12" w:space="0" w:color="auto"/>
              <w:right w:val="single" w:sz="12" w:space="0" w:color="auto"/>
            </w:tcBorders>
            <w:shd w:val="clear" w:color="auto" w:fill="92D050"/>
            <w:noWrap/>
            <w:hideMark/>
          </w:tcPr>
          <w:p w14:paraId="1690EBB4" w14:textId="77777777" w:rsidR="0028280C" w:rsidRPr="007D468C" w:rsidRDefault="0028280C" w:rsidP="00E43F48">
            <w:pPr>
              <w:pStyle w:val="Sansinterligne"/>
              <w:rPr>
                <w:lang w:val="fr-FR" w:eastAsia="fr-FR"/>
              </w:rPr>
            </w:pPr>
          </w:p>
        </w:tc>
        <w:tc>
          <w:tcPr>
            <w:tcW w:w="1560" w:type="dxa"/>
            <w:tcBorders>
              <w:top w:val="single" w:sz="12" w:space="0" w:color="auto"/>
              <w:left w:val="nil"/>
              <w:bottom w:val="single" w:sz="12" w:space="0" w:color="auto"/>
              <w:right w:val="single" w:sz="12" w:space="0" w:color="auto"/>
            </w:tcBorders>
            <w:shd w:val="clear" w:color="auto" w:fill="92D050"/>
            <w:hideMark/>
          </w:tcPr>
          <w:p w14:paraId="50AF0CB1"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Total importations</w:t>
            </w:r>
          </w:p>
        </w:tc>
        <w:tc>
          <w:tcPr>
            <w:tcW w:w="1701" w:type="dxa"/>
            <w:tcBorders>
              <w:top w:val="single" w:sz="12" w:space="0" w:color="auto"/>
              <w:left w:val="nil"/>
              <w:bottom w:val="single" w:sz="12" w:space="0" w:color="auto"/>
              <w:right w:val="single" w:sz="12" w:space="0" w:color="auto"/>
            </w:tcBorders>
            <w:shd w:val="clear" w:color="auto" w:fill="92D050"/>
            <w:hideMark/>
          </w:tcPr>
          <w:p w14:paraId="6686B3E5"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Produits alimentaires</w:t>
            </w:r>
          </w:p>
        </w:tc>
        <w:tc>
          <w:tcPr>
            <w:tcW w:w="1559" w:type="dxa"/>
            <w:tcBorders>
              <w:top w:val="single" w:sz="12" w:space="0" w:color="auto"/>
              <w:left w:val="nil"/>
              <w:bottom w:val="single" w:sz="12" w:space="0" w:color="auto"/>
              <w:right w:val="single" w:sz="12" w:space="0" w:color="auto"/>
            </w:tcBorders>
            <w:shd w:val="clear" w:color="auto" w:fill="92D050"/>
            <w:hideMark/>
          </w:tcPr>
          <w:p w14:paraId="58B050FA"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Produits pétroliers</w:t>
            </w:r>
          </w:p>
        </w:tc>
        <w:tc>
          <w:tcPr>
            <w:tcW w:w="1559" w:type="dxa"/>
            <w:tcBorders>
              <w:top w:val="single" w:sz="12" w:space="0" w:color="auto"/>
              <w:left w:val="nil"/>
              <w:bottom w:val="single" w:sz="12" w:space="0" w:color="auto"/>
              <w:right w:val="single" w:sz="12" w:space="0" w:color="auto"/>
            </w:tcBorders>
            <w:shd w:val="clear" w:color="auto" w:fill="92D050"/>
            <w:hideMark/>
          </w:tcPr>
          <w:p w14:paraId="7F1F592A"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Biens d'équipement</w:t>
            </w:r>
          </w:p>
        </w:tc>
        <w:tc>
          <w:tcPr>
            <w:tcW w:w="1410" w:type="dxa"/>
            <w:tcBorders>
              <w:top w:val="single" w:sz="12" w:space="0" w:color="auto"/>
              <w:left w:val="nil"/>
              <w:bottom w:val="single" w:sz="12" w:space="0" w:color="auto"/>
              <w:right w:val="single" w:sz="12" w:space="0" w:color="auto"/>
            </w:tcBorders>
            <w:shd w:val="clear" w:color="auto" w:fill="92D050"/>
            <w:hideMark/>
          </w:tcPr>
          <w:p w14:paraId="70AC91FF"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Autres importations</w:t>
            </w:r>
          </w:p>
        </w:tc>
        <w:tc>
          <w:tcPr>
            <w:tcW w:w="1351" w:type="dxa"/>
            <w:tcBorders>
              <w:top w:val="single" w:sz="12" w:space="0" w:color="auto"/>
              <w:left w:val="nil"/>
              <w:bottom w:val="single" w:sz="12" w:space="0" w:color="auto"/>
              <w:right w:val="single" w:sz="12" w:space="0" w:color="auto"/>
            </w:tcBorders>
            <w:shd w:val="clear" w:color="auto" w:fill="FFC000"/>
          </w:tcPr>
          <w:p w14:paraId="2769D9A7" w14:textId="77777777" w:rsidR="0028280C" w:rsidRPr="00196DA4" w:rsidRDefault="0028280C" w:rsidP="00E43F48">
            <w:pPr>
              <w:pStyle w:val="Sansinterligne"/>
              <w:rPr>
                <w:rFonts w:ascii="Times New Roman" w:hAnsi="Times New Roman" w:cs="Times New Roman"/>
                <w:lang w:val="fr-FR" w:eastAsia="fr-FR"/>
              </w:rPr>
            </w:pPr>
            <w:r w:rsidRPr="00196DA4">
              <w:rPr>
                <w:rFonts w:ascii="Times New Roman" w:hAnsi="Times New Roman" w:cs="Times New Roman"/>
                <w:lang w:val="fr-FR" w:eastAsia="fr-FR"/>
              </w:rPr>
              <w:t>Part des produits alimentaires dans les importations totales</w:t>
            </w:r>
          </w:p>
        </w:tc>
      </w:tr>
      <w:tr w:rsidR="0028280C" w:rsidRPr="003859F5" w14:paraId="657BD200" w14:textId="77777777" w:rsidTr="00E43F48">
        <w:trPr>
          <w:trHeight w:val="310"/>
        </w:trPr>
        <w:tc>
          <w:tcPr>
            <w:tcW w:w="310" w:type="dxa"/>
            <w:tcBorders>
              <w:top w:val="nil"/>
              <w:left w:val="single" w:sz="12" w:space="0" w:color="auto"/>
              <w:bottom w:val="single" w:sz="12" w:space="0" w:color="auto"/>
              <w:right w:val="single" w:sz="12" w:space="0" w:color="auto"/>
            </w:tcBorders>
            <w:shd w:val="clear" w:color="auto" w:fill="92D050"/>
            <w:noWrap/>
            <w:vAlign w:val="bottom"/>
            <w:hideMark/>
          </w:tcPr>
          <w:p w14:paraId="1031CA6D"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2010</w:t>
            </w:r>
          </w:p>
        </w:tc>
        <w:tc>
          <w:tcPr>
            <w:tcW w:w="1560" w:type="dxa"/>
            <w:tcBorders>
              <w:top w:val="nil"/>
              <w:left w:val="nil"/>
              <w:bottom w:val="single" w:sz="12" w:space="0" w:color="auto"/>
              <w:right w:val="single" w:sz="12" w:space="0" w:color="auto"/>
            </w:tcBorders>
            <w:shd w:val="clear" w:color="auto" w:fill="auto"/>
            <w:noWrap/>
            <w:vAlign w:val="bottom"/>
            <w:hideMark/>
          </w:tcPr>
          <w:p w14:paraId="612F751D"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1226,2</w:t>
            </w:r>
          </w:p>
        </w:tc>
        <w:tc>
          <w:tcPr>
            <w:tcW w:w="1701" w:type="dxa"/>
            <w:tcBorders>
              <w:top w:val="nil"/>
              <w:left w:val="nil"/>
              <w:bottom w:val="single" w:sz="12" w:space="0" w:color="auto"/>
              <w:right w:val="single" w:sz="12" w:space="0" w:color="auto"/>
            </w:tcBorders>
            <w:shd w:val="clear" w:color="auto" w:fill="auto"/>
            <w:noWrap/>
            <w:vAlign w:val="bottom"/>
            <w:hideMark/>
          </w:tcPr>
          <w:p w14:paraId="74ACB83E"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113,9</w:t>
            </w:r>
          </w:p>
        </w:tc>
        <w:tc>
          <w:tcPr>
            <w:tcW w:w="1559" w:type="dxa"/>
            <w:tcBorders>
              <w:top w:val="nil"/>
              <w:left w:val="nil"/>
              <w:bottom w:val="single" w:sz="12" w:space="0" w:color="auto"/>
              <w:right w:val="single" w:sz="12" w:space="0" w:color="auto"/>
            </w:tcBorders>
            <w:shd w:val="clear" w:color="auto" w:fill="auto"/>
            <w:noWrap/>
            <w:vAlign w:val="bottom"/>
            <w:hideMark/>
          </w:tcPr>
          <w:p w14:paraId="21251325"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154,1</w:t>
            </w:r>
          </w:p>
        </w:tc>
        <w:tc>
          <w:tcPr>
            <w:tcW w:w="1559" w:type="dxa"/>
            <w:tcBorders>
              <w:top w:val="nil"/>
              <w:left w:val="nil"/>
              <w:bottom w:val="single" w:sz="12" w:space="0" w:color="auto"/>
              <w:right w:val="single" w:sz="12" w:space="0" w:color="auto"/>
            </w:tcBorders>
            <w:shd w:val="clear" w:color="auto" w:fill="auto"/>
            <w:noWrap/>
            <w:vAlign w:val="bottom"/>
            <w:hideMark/>
          </w:tcPr>
          <w:p w14:paraId="265C2638"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335,1</w:t>
            </w:r>
          </w:p>
        </w:tc>
        <w:tc>
          <w:tcPr>
            <w:tcW w:w="1410" w:type="dxa"/>
            <w:tcBorders>
              <w:top w:val="nil"/>
              <w:left w:val="nil"/>
              <w:bottom w:val="single" w:sz="12" w:space="0" w:color="auto"/>
              <w:right w:val="single" w:sz="12" w:space="0" w:color="auto"/>
            </w:tcBorders>
            <w:shd w:val="clear" w:color="auto" w:fill="auto"/>
            <w:noWrap/>
            <w:vAlign w:val="bottom"/>
            <w:hideMark/>
          </w:tcPr>
          <w:p w14:paraId="3832F987"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6,1</w:t>
            </w:r>
          </w:p>
        </w:tc>
        <w:tc>
          <w:tcPr>
            <w:tcW w:w="1351" w:type="dxa"/>
            <w:tcBorders>
              <w:top w:val="nil"/>
              <w:left w:val="nil"/>
              <w:bottom w:val="single" w:sz="12" w:space="0" w:color="auto"/>
              <w:right w:val="single" w:sz="12" w:space="0" w:color="auto"/>
            </w:tcBorders>
            <w:shd w:val="clear" w:color="auto" w:fill="FFC000"/>
          </w:tcPr>
          <w:p w14:paraId="169B78F3"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9,3%</w:t>
            </w:r>
          </w:p>
        </w:tc>
      </w:tr>
      <w:tr w:rsidR="0028280C" w:rsidRPr="003859F5" w14:paraId="121A5496" w14:textId="77777777" w:rsidTr="00E43F48">
        <w:trPr>
          <w:trHeight w:val="310"/>
        </w:trPr>
        <w:tc>
          <w:tcPr>
            <w:tcW w:w="310" w:type="dxa"/>
            <w:tcBorders>
              <w:top w:val="nil"/>
              <w:left w:val="single" w:sz="12" w:space="0" w:color="auto"/>
              <w:bottom w:val="single" w:sz="12" w:space="0" w:color="auto"/>
              <w:right w:val="single" w:sz="12" w:space="0" w:color="auto"/>
            </w:tcBorders>
            <w:shd w:val="clear" w:color="auto" w:fill="92D050"/>
            <w:noWrap/>
            <w:vAlign w:val="bottom"/>
            <w:hideMark/>
          </w:tcPr>
          <w:p w14:paraId="5A342E07"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2011</w:t>
            </w:r>
          </w:p>
        </w:tc>
        <w:tc>
          <w:tcPr>
            <w:tcW w:w="1560" w:type="dxa"/>
            <w:tcBorders>
              <w:top w:val="nil"/>
              <w:left w:val="nil"/>
              <w:bottom w:val="single" w:sz="12" w:space="0" w:color="auto"/>
              <w:right w:val="single" w:sz="12" w:space="0" w:color="auto"/>
            </w:tcBorders>
            <w:shd w:val="clear" w:color="auto" w:fill="auto"/>
            <w:noWrap/>
            <w:vAlign w:val="bottom"/>
            <w:hideMark/>
          </w:tcPr>
          <w:p w14:paraId="1ED6AF31"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1318,3</w:t>
            </w:r>
          </w:p>
        </w:tc>
        <w:tc>
          <w:tcPr>
            <w:tcW w:w="1701" w:type="dxa"/>
            <w:tcBorders>
              <w:top w:val="nil"/>
              <w:left w:val="nil"/>
              <w:bottom w:val="single" w:sz="12" w:space="0" w:color="auto"/>
              <w:right w:val="single" w:sz="12" w:space="0" w:color="auto"/>
            </w:tcBorders>
            <w:shd w:val="clear" w:color="auto" w:fill="auto"/>
            <w:noWrap/>
            <w:vAlign w:val="bottom"/>
            <w:hideMark/>
          </w:tcPr>
          <w:p w14:paraId="2D0BACD0"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229,9</w:t>
            </w:r>
          </w:p>
        </w:tc>
        <w:tc>
          <w:tcPr>
            <w:tcW w:w="1559" w:type="dxa"/>
            <w:tcBorders>
              <w:top w:val="nil"/>
              <w:left w:val="nil"/>
              <w:bottom w:val="single" w:sz="12" w:space="0" w:color="auto"/>
              <w:right w:val="single" w:sz="12" w:space="0" w:color="auto"/>
            </w:tcBorders>
            <w:shd w:val="clear" w:color="auto" w:fill="auto"/>
            <w:noWrap/>
            <w:vAlign w:val="bottom"/>
            <w:hideMark/>
          </w:tcPr>
          <w:p w14:paraId="33F18260"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163,3</w:t>
            </w:r>
          </w:p>
        </w:tc>
        <w:tc>
          <w:tcPr>
            <w:tcW w:w="1559" w:type="dxa"/>
            <w:tcBorders>
              <w:top w:val="nil"/>
              <w:left w:val="nil"/>
              <w:bottom w:val="single" w:sz="12" w:space="0" w:color="auto"/>
              <w:right w:val="single" w:sz="12" w:space="0" w:color="auto"/>
            </w:tcBorders>
            <w:shd w:val="clear" w:color="auto" w:fill="auto"/>
            <w:noWrap/>
            <w:vAlign w:val="bottom"/>
            <w:hideMark/>
          </w:tcPr>
          <w:p w14:paraId="53237C68"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316,8</w:t>
            </w:r>
          </w:p>
        </w:tc>
        <w:tc>
          <w:tcPr>
            <w:tcW w:w="1410" w:type="dxa"/>
            <w:tcBorders>
              <w:top w:val="nil"/>
              <w:left w:val="nil"/>
              <w:bottom w:val="single" w:sz="12" w:space="0" w:color="auto"/>
              <w:right w:val="single" w:sz="12" w:space="0" w:color="auto"/>
            </w:tcBorders>
            <w:shd w:val="clear" w:color="auto" w:fill="auto"/>
            <w:noWrap/>
            <w:vAlign w:val="bottom"/>
            <w:hideMark/>
          </w:tcPr>
          <w:p w14:paraId="13689254"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69,9</w:t>
            </w:r>
          </w:p>
        </w:tc>
        <w:tc>
          <w:tcPr>
            <w:tcW w:w="1351" w:type="dxa"/>
            <w:tcBorders>
              <w:top w:val="nil"/>
              <w:left w:val="nil"/>
              <w:bottom w:val="single" w:sz="12" w:space="0" w:color="auto"/>
              <w:right w:val="single" w:sz="12" w:space="0" w:color="auto"/>
            </w:tcBorders>
            <w:shd w:val="clear" w:color="auto" w:fill="FFC000"/>
          </w:tcPr>
          <w:p w14:paraId="2DC24D40"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17,4%</w:t>
            </w:r>
          </w:p>
        </w:tc>
      </w:tr>
      <w:tr w:rsidR="0028280C" w:rsidRPr="003859F5" w14:paraId="750444E9" w14:textId="77777777" w:rsidTr="00E43F48">
        <w:trPr>
          <w:trHeight w:val="310"/>
        </w:trPr>
        <w:tc>
          <w:tcPr>
            <w:tcW w:w="310" w:type="dxa"/>
            <w:tcBorders>
              <w:top w:val="nil"/>
              <w:left w:val="single" w:sz="12" w:space="0" w:color="auto"/>
              <w:bottom w:val="single" w:sz="12" w:space="0" w:color="auto"/>
              <w:right w:val="single" w:sz="12" w:space="0" w:color="auto"/>
            </w:tcBorders>
            <w:shd w:val="clear" w:color="auto" w:fill="92D050"/>
            <w:noWrap/>
            <w:vAlign w:val="bottom"/>
            <w:hideMark/>
          </w:tcPr>
          <w:p w14:paraId="172BCB26"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2012</w:t>
            </w:r>
          </w:p>
        </w:tc>
        <w:tc>
          <w:tcPr>
            <w:tcW w:w="1560" w:type="dxa"/>
            <w:tcBorders>
              <w:top w:val="nil"/>
              <w:left w:val="nil"/>
              <w:bottom w:val="single" w:sz="12" w:space="0" w:color="auto"/>
              <w:right w:val="single" w:sz="12" w:space="0" w:color="auto"/>
            </w:tcBorders>
            <w:shd w:val="clear" w:color="auto" w:fill="auto"/>
            <w:noWrap/>
            <w:vAlign w:val="bottom"/>
            <w:hideMark/>
          </w:tcPr>
          <w:p w14:paraId="061D1D51"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1222,1</w:t>
            </w:r>
          </w:p>
        </w:tc>
        <w:tc>
          <w:tcPr>
            <w:tcW w:w="1701" w:type="dxa"/>
            <w:tcBorders>
              <w:top w:val="nil"/>
              <w:left w:val="nil"/>
              <w:bottom w:val="single" w:sz="12" w:space="0" w:color="auto"/>
              <w:right w:val="single" w:sz="12" w:space="0" w:color="auto"/>
            </w:tcBorders>
            <w:shd w:val="clear" w:color="auto" w:fill="auto"/>
            <w:noWrap/>
            <w:vAlign w:val="bottom"/>
            <w:hideMark/>
          </w:tcPr>
          <w:p w14:paraId="25FA5BDB"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284,6</w:t>
            </w:r>
          </w:p>
        </w:tc>
        <w:tc>
          <w:tcPr>
            <w:tcW w:w="1559" w:type="dxa"/>
            <w:tcBorders>
              <w:top w:val="nil"/>
              <w:left w:val="nil"/>
              <w:bottom w:val="single" w:sz="12" w:space="0" w:color="auto"/>
              <w:right w:val="single" w:sz="12" w:space="0" w:color="auto"/>
            </w:tcBorders>
            <w:shd w:val="clear" w:color="auto" w:fill="auto"/>
            <w:noWrap/>
            <w:vAlign w:val="bottom"/>
            <w:hideMark/>
          </w:tcPr>
          <w:p w14:paraId="10A2B994"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31,7</w:t>
            </w:r>
          </w:p>
        </w:tc>
        <w:tc>
          <w:tcPr>
            <w:tcW w:w="1559" w:type="dxa"/>
            <w:tcBorders>
              <w:top w:val="nil"/>
              <w:left w:val="nil"/>
              <w:bottom w:val="single" w:sz="12" w:space="0" w:color="auto"/>
              <w:right w:val="single" w:sz="12" w:space="0" w:color="auto"/>
            </w:tcBorders>
            <w:shd w:val="clear" w:color="auto" w:fill="auto"/>
            <w:noWrap/>
            <w:vAlign w:val="bottom"/>
            <w:hideMark/>
          </w:tcPr>
          <w:p w14:paraId="4DB60E26"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269,2</w:t>
            </w:r>
          </w:p>
        </w:tc>
        <w:tc>
          <w:tcPr>
            <w:tcW w:w="1410" w:type="dxa"/>
            <w:tcBorders>
              <w:top w:val="nil"/>
              <w:left w:val="nil"/>
              <w:bottom w:val="single" w:sz="12" w:space="0" w:color="auto"/>
              <w:right w:val="single" w:sz="12" w:space="0" w:color="auto"/>
            </w:tcBorders>
            <w:shd w:val="clear" w:color="auto" w:fill="auto"/>
            <w:noWrap/>
            <w:vAlign w:val="bottom"/>
            <w:hideMark/>
          </w:tcPr>
          <w:p w14:paraId="5C49A829"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92,3</w:t>
            </w:r>
          </w:p>
        </w:tc>
        <w:tc>
          <w:tcPr>
            <w:tcW w:w="1351" w:type="dxa"/>
            <w:tcBorders>
              <w:top w:val="nil"/>
              <w:left w:val="nil"/>
              <w:bottom w:val="single" w:sz="12" w:space="0" w:color="auto"/>
              <w:right w:val="single" w:sz="12" w:space="0" w:color="auto"/>
            </w:tcBorders>
            <w:shd w:val="clear" w:color="auto" w:fill="FFC000"/>
          </w:tcPr>
          <w:p w14:paraId="10C51D5D"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23,3%</w:t>
            </w:r>
          </w:p>
        </w:tc>
      </w:tr>
      <w:tr w:rsidR="0028280C" w:rsidRPr="003859F5" w14:paraId="55C63633" w14:textId="77777777" w:rsidTr="00E43F48">
        <w:trPr>
          <w:trHeight w:val="310"/>
        </w:trPr>
        <w:tc>
          <w:tcPr>
            <w:tcW w:w="310" w:type="dxa"/>
            <w:tcBorders>
              <w:top w:val="nil"/>
              <w:left w:val="single" w:sz="12" w:space="0" w:color="auto"/>
              <w:bottom w:val="single" w:sz="12" w:space="0" w:color="auto"/>
              <w:right w:val="single" w:sz="12" w:space="0" w:color="auto"/>
            </w:tcBorders>
            <w:shd w:val="clear" w:color="auto" w:fill="92D050"/>
            <w:noWrap/>
            <w:vAlign w:val="bottom"/>
            <w:hideMark/>
          </w:tcPr>
          <w:p w14:paraId="3FD48D77"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2013</w:t>
            </w:r>
          </w:p>
        </w:tc>
        <w:tc>
          <w:tcPr>
            <w:tcW w:w="1560" w:type="dxa"/>
            <w:tcBorders>
              <w:top w:val="nil"/>
              <w:left w:val="nil"/>
              <w:bottom w:val="single" w:sz="12" w:space="0" w:color="auto"/>
              <w:right w:val="single" w:sz="12" w:space="0" w:color="auto"/>
            </w:tcBorders>
            <w:shd w:val="clear" w:color="auto" w:fill="auto"/>
            <w:noWrap/>
            <w:vAlign w:val="bottom"/>
            <w:hideMark/>
          </w:tcPr>
          <w:p w14:paraId="5843DA95"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1253,9</w:t>
            </w:r>
          </w:p>
        </w:tc>
        <w:tc>
          <w:tcPr>
            <w:tcW w:w="1701" w:type="dxa"/>
            <w:tcBorders>
              <w:top w:val="nil"/>
              <w:left w:val="nil"/>
              <w:bottom w:val="single" w:sz="12" w:space="0" w:color="auto"/>
              <w:right w:val="single" w:sz="12" w:space="0" w:color="auto"/>
            </w:tcBorders>
            <w:shd w:val="clear" w:color="auto" w:fill="auto"/>
            <w:noWrap/>
            <w:vAlign w:val="bottom"/>
            <w:hideMark/>
          </w:tcPr>
          <w:p w14:paraId="3E25637D"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234,3</w:t>
            </w:r>
          </w:p>
        </w:tc>
        <w:tc>
          <w:tcPr>
            <w:tcW w:w="1559" w:type="dxa"/>
            <w:tcBorders>
              <w:top w:val="nil"/>
              <w:left w:val="nil"/>
              <w:bottom w:val="single" w:sz="12" w:space="0" w:color="auto"/>
              <w:right w:val="single" w:sz="12" w:space="0" w:color="auto"/>
            </w:tcBorders>
            <w:shd w:val="clear" w:color="auto" w:fill="auto"/>
            <w:noWrap/>
            <w:vAlign w:val="bottom"/>
            <w:hideMark/>
          </w:tcPr>
          <w:p w14:paraId="3B6698B0"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45,2</w:t>
            </w:r>
          </w:p>
        </w:tc>
        <w:tc>
          <w:tcPr>
            <w:tcW w:w="1559" w:type="dxa"/>
            <w:tcBorders>
              <w:top w:val="nil"/>
              <w:left w:val="nil"/>
              <w:bottom w:val="single" w:sz="12" w:space="0" w:color="auto"/>
              <w:right w:val="single" w:sz="12" w:space="0" w:color="auto"/>
            </w:tcBorders>
            <w:shd w:val="clear" w:color="auto" w:fill="auto"/>
            <w:noWrap/>
            <w:vAlign w:val="bottom"/>
            <w:hideMark/>
          </w:tcPr>
          <w:p w14:paraId="69FC6F74"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318,4</w:t>
            </w:r>
          </w:p>
        </w:tc>
        <w:tc>
          <w:tcPr>
            <w:tcW w:w="1410" w:type="dxa"/>
            <w:tcBorders>
              <w:top w:val="nil"/>
              <w:left w:val="nil"/>
              <w:bottom w:val="single" w:sz="12" w:space="0" w:color="auto"/>
              <w:right w:val="single" w:sz="12" w:space="0" w:color="auto"/>
            </w:tcBorders>
            <w:shd w:val="clear" w:color="auto" w:fill="auto"/>
            <w:noWrap/>
            <w:vAlign w:val="bottom"/>
            <w:hideMark/>
          </w:tcPr>
          <w:p w14:paraId="144C94FA"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72,9</w:t>
            </w:r>
          </w:p>
        </w:tc>
        <w:tc>
          <w:tcPr>
            <w:tcW w:w="1351" w:type="dxa"/>
            <w:tcBorders>
              <w:top w:val="nil"/>
              <w:left w:val="nil"/>
              <w:bottom w:val="single" w:sz="12" w:space="0" w:color="auto"/>
              <w:right w:val="single" w:sz="12" w:space="0" w:color="auto"/>
            </w:tcBorders>
            <w:shd w:val="clear" w:color="auto" w:fill="FFC000"/>
          </w:tcPr>
          <w:p w14:paraId="58FBFA82"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18,7%</w:t>
            </w:r>
          </w:p>
        </w:tc>
      </w:tr>
      <w:tr w:rsidR="0028280C" w:rsidRPr="003859F5" w14:paraId="7E640037" w14:textId="77777777" w:rsidTr="00E43F48">
        <w:trPr>
          <w:trHeight w:val="310"/>
        </w:trPr>
        <w:tc>
          <w:tcPr>
            <w:tcW w:w="310" w:type="dxa"/>
            <w:tcBorders>
              <w:top w:val="nil"/>
              <w:left w:val="single" w:sz="12" w:space="0" w:color="auto"/>
              <w:bottom w:val="single" w:sz="12" w:space="0" w:color="auto"/>
              <w:right w:val="single" w:sz="12" w:space="0" w:color="auto"/>
            </w:tcBorders>
            <w:shd w:val="clear" w:color="auto" w:fill="92D050"/>
            <w:noWrap/>
            <w:vAlign w:val="bottom"/>
            <w:hideMark/>
          </w:tcPr>
          <w:p w14:paraId="301A2EBA"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2014</w:t>
            </w:r>
          </w:p>
        </w:tc>
        <w:tc>
          <w:tcPr>
            <w:tcW w:w="1560" w:type="dxa"/>
            <w:tcBorders>
              <w:top w:val="nil"/>
              <w:left w:val="nil"/>
              <w:bottom w:val="single" w:sz="12" w:space="0" w:color="auto"/>
              <w:right w:val="single" w:sz="12" w:space="0" w:color="auto"/>
            </w:tcBorders>
            <w:shd w:val="clear" w:color="auto" w:fill="auto"/>
            <w:noWrap/>
            <w:vAlign w:val="bottom"/>
            <w:hideMark/>
          </w:tcPr>
          <w:p w14:paraId="777F5422"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1364,8</w:t>
            </w:r>
          </w:p>
        </w:tc>
        <w:tc>
          <w:tcPr>
            <w:tcW w:w="1701" w:type="dxa"/>
            <w:tcBorders>
              <w:top w:val="nil"/>
              <w:left w:val="nil"/>
              <w:bottom w:val="single" w:sz="12" w:space="0" w:color="auto"/>
              <w:right w:val="single" w:sz="12" w:space="0" w:color="auto"/>
            </w:tcBorders>
            <w:shd w:val="clear" w:color="auto" w:fill="auto"/>
            <w:noWrap/>
            <w:vAlign w:val="bottom"/>
            <w:hideMark/>
          </w:tcPr>
          <w:p w14:paraId="6ACB8FE4"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239,1</w:t>
            </w:r>
          </w:p>
        </w:tc>
        <w:tc>
          <w:tcPr>
            <w:tcW w:w="1559" w:type="dxa"/>
            <w:tcBorders>
              <w:top w:val="nil"/>
              <w:left w:val="nil"/>
              <w:bottom w:val="single" w:sz="12" w:space="0" w:color="auto"/>
              <w:right w:val="single" w:sz="12" w:space="0" w:color="auto"/>
            </w:tcBorders>
            <w:shd w:val="clear" w:color="auto" w:fill="auto"/>
            <w:noWrap/>
            <w:vAlign w:val="bottom"/>
            <w:hideMark/>
          </w:tcPr>
          <w:p w14:paraId="1E5BFB44"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52,8</w:t>
            </w:r>
          </w:p>
        </w:tc>
        <w:tc>
          <w:tcPr>
            <w:tcW w:w="1559" w:type="dxa"/>
            <w:tcBorders>
              <w:top w:val="nil"/>
              <w:left w:val="nil"/>
              <w:bottom w:val="single" w:sz="12" w:space="0" w:color="auto"/>
              <w:right w:val="single" w:sz="12" w:space="0" w:color="auto"/>
            </w:tcBorders>
            <w:shd w:val="clear" w:color="auto" w:fill="auto"/>
            <w:noWrap/>
            <w:vAlign w:val="bottom"/>
            <w:hideMark/>
          </w:tcPr>
          <w:p w14:paraId="49C326A9"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413,9</w:t>
            </w:r>
          </w:p>
        </w:tc>
        <w:tc>
          <w:tcPr>
            <w:tcW w:w="1410" w:type="dxa"/>
            <w:tcBorders>
              <w:top w:val="nil"/>
              <w:left w:val="nil"/>
              <w:bottom w:val="single" w:sz="12" w:space="0" w:color="auto"/>
              <w:right w:val="single" w:sz="12" w:space="0" w:color="auto"/>
            </w:tcBorders>
            <w:shd w:val="clear" w:color="auto" w:fill="auto"/>
            <w:noWrap/>
            <w:vAlign w:val="bottom"/>
            <w:hideMark/>
          </w:tcPr>
          <w:p w14:paraId="5EAEFBC2"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99,2</w:t>
            </w:r>
          </w:p>
        </w:tc>
        <w:tc>
          <w:tcPr>
            <w:tcW w:w="1351" w:type="dxa"/>
            <w:tcBorders>
              <w:top w:val="nil"/>
              <w:left w:val="nil"/>
              <w:bottom w:val="single" w:sz="12" w:space="0" w:color="auto"/>
              <w:right w:val="single" w:sz="12" w:space="0" w:color="auto"/>
            </w:tcBorders>
            <w:shd w:val="clear" w:color="auto" w:fill="FFC000"/>
          </w:tcPr>
          <w:p w14:paraId="79FD1D8F"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17,5%</w:t>
            </w:r>
          </w:p>
        </w:tc>
      </w:tr>
      <w:tr w:rsidR="0028280C" w:rsidRPr="003859F5" w14:paraId="6B4AC9EB" w14:textId="77777777" w:rsidTr="00E43F48">
        <w:trPr>
          <w:trHeight w:val="310"/>
        </w:trPr>
        <w:tc>
          <w:tcPr>
            <w:tcW w:w="310" w:type="dxa"/>
            <w:tcBorders>
              <w:top w:val="nil"/>
              <w:left w:val="single" w:sz="12" w:space="0" w:color="auto"/>
              <w:bottom w:val="single" w:sz="12" w:space="0" w:color="auto"/>
              <w:right w:val="single" w:sz="12" w:space="0" w:color="auto"/>
            </w:tcBorders>
            <w:shd w:val="clear" w:color="auto" w:fill="92D050"/>
            <w:noWrap/>
            <w:vAlign w:val="bottom"/>
            <w:hideMark/>
          </w:tcPr>
          <w:p w14:paraId="5D693531"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2015</w:t>
            </w:r>
          </w:p>
        </w:tc>
        <w:tc>
          <w:tcPr>
            <w:tcW w:w="1560" w:type="dxa"/>
            <w:tcBorders>
              <w:top w:val="nil"/>
              <w:left w:val="nil"/>
              <w:bottom w:val="single" w:sz="12" w:space="0" w:color="auto"/>
              <w:right w:val="single" w:sz="12" w:space="0" w:color="auto"/>
            </w:tcBorders>
            <w:shd w:val="clear" w:color="auto" w:fill="auto"/>
            <w:noWrap/>
            <w:vAlign w:val="bottom"/>
            <w:hideMark/>
          </w:tcPr>
          <w:p w14:paraId="282A7258"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1472,6</w:t>
            </w:r>
          </w:p>
        </w:tc>
        <w:tc>
          <w:tcPr>
            <w:tcW w:w="1701" w:type="dxa"/>
            <w:tcBorders>
              <w:top w:val="nil"/>
              <w:left w:val="nil"/>
              <w:bottom w:val="single" w:sz="12" w:space="0" w:color="auto"/>
              <w:right w:val="single" w:sz="12" w:space="0" w:color="auto"/>
            </w:tcBorders>
            <w:shd w:val="clear" w:color="auto" w:fill="auto"/>
            <w:noWrap/>
            <w:vAlign w:val="bottom"/>
            <w:hideMark/>
          </w:tcPr>
          <w:p w14:paraId="7F714FC4"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279,3</w:t>
            </w:r>
          </w:p>
        </w:tc>
        <w:tc>
          <w:tcPr>
            <w:tcW w:w="1559" w:type="dxa"/>
            <w:tcBorders>
              <w:top w:val="nil"/>
              <w:left w:val="nil"/>
              <w:bottom w:val="single" w:sz="12" w:space="0" w:color="auto"/>
              <w:right w:val="single" w:sz="12" w:space="0" w:color="auto"/>
            </w:tcBorders>
            <w:shd w:val="clear" w:color="auto" w:fill="auto"/>
            <w:noWrap/>
            <w:vAlign w:val="bottom"/>
            <w:hideMark/>
          </w:tcPr>
          <w:p w14:paraId="390DFC14"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76,5</w:t>
            </w:r>
          </w:p>
        </w:tc>
        <w:tc>
          <w:tcPr>
            <w:tcW w:w="1559" w:type="dxa"/>
            <w:tcBorders>
              <w:top w:val="nil"/>
              <w:left w:val="nil"/>
              <w:bottom w:val="single" w:sz="12" w:space="0" w:color="auto"/>
              <w:right w:val="single" w:sz="12" w:space="0" w:color="auto"/>
            </w:tcBorders>
            <w:shd w:val="clear" w:color="auto" w:fill="auto"/>
            <w:noWrap/>
            <w:vAlign w:val="bottom"/>
            <w:hideMark/>
          </w:tcPr>
          <w:p w14:paraId="688C5811"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424,7</w:t>
            </w:r>
          </w:p>
        </w:tc>
        <w:tc>
          <w:tcPr>
            <w:tcW w:w="1410" w:type="dxa"/>
            <w:tcBorders>
              <w:top w:val="nil"/>
              <w:left w:val="nil"/>
              <w:bottom w:val="single" w:sz="12" w:space="0" w:color="auto"/>
              <w:right w:val="single" w:sz="12" w:space="0" w:color="auto"/>
            </w:tcBorders>
            <w:shd w:val="clear" w:color="auto" w:fill="auto"/>
            <w:noWrap/>
            <w:vAlign w:val="bottom"/>
            <w:hideMark/>
          </w:tcPr>
          <w:p w14:paraId="6B1B64FB"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103,9</w:t>
            </w:r>
          </w:p>
        </w:tc>
        <w:tc>
          <w:tcPr>
            <w:tcW w:w="1351" w:type="dxa"/>
            <w:tcBorders>
              <w:top w:val="nil"/>
              <w:left w:val="nil"/>
              <w:bottom w:val="single" w:sz="12" w:space="0" w:color="auto"/>
              <w:right w:val="single" w:sz="12" w:space="0" w:color="auto"/>
            </w:tcBorders>
            <w:shd w:val="clear" w:color="auto" w:fill="FFC000"/>
          </w:tcPr>
          <w:p w14:paraId="14FDE51A"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19,0%</w:t>
            </w:r>
          </w:p>
        </w:tc>
      </w:tr>
      <w:tr w:rsidR="0028280C" w:rsidRPr="003859F5" w14:paraId="3FA8624E" w14:textId="77777777" w:rsidTr="00E43F48">
        <w:trPr>
          <w:trHeight w:val="310"/>
        </w:trPr>
        <w:tc>
          <w:tcPr>
            <w:tcW w:w="310" w:type="dxa"/>
            <w:tcBorders>
              <w:top w:val="nil"/>
              <w:left w:val="single" w:sz="12" w:space="0" w:color="auto"/>
              <w:bottom w:val="single" w:sz="12" w:space="0" w:color="auto"/>
              <w:right w:val="single" w:sz="12" w:space="0" w:color="auto"/>
            </w:tcBorders>
            <w:shd w:val="clear" w:color="auto" w:fill="92D050"/>
            <w:noWrap/>
            <w:vAlign w:val="bottom"/>
            <w:hideMark/>
          </w:tcPr>
          <w:p w14:paraId="2F313468"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2016</w:t>
            </w:r>
          </w:p>
        </w:tc>
        <w:tc>
          <w:tcPr>
            <w:tcW w:w="1560" w:type="dxa"/>
            <w:tcBorders>
              <w:top w:val="nil"/>
              <w:left w:val="nil"/>
              <w:bottom w:val="single" w:sz="12" w:space="0" w:color="auto"/>
              <w:right w:val="single" w:sz="12" w:space="0" w:color="auto"/>
            </w:tcBorders>
            <w:shd w:val="clear" w:color="auto" w:fill="auto"/>
            <w:noWrap/>
            <w:vAlign w:val="bottom"/>
            <w:hideMark/>
          </w:tcPr>
          <w:p w14:paraId="0DB45353"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1281,9</w:t>
            </w:r>
          </w:p>
        </w:tc>
        <w:tc>
          <w:tcPr>
            <w:tcW w:w="1701" w:type="dxa"/>
            <w:tcBorders>
              <w:top w:val="nil"/>
              <w:left w:val="nil"/>
              <w:bottom w:val="single" w:sz="12" w:space="0" w:color="auto"/>
              <w:right w:val="single" w:sz="12" w:space="0" w:color="auto"/>
            </w:tcBorders>
            <w:shd w:val="clear" w:color="auto" w:fill="auto"/>
            <w:noWrap/>
            <w:vAlign w:val="bottom"/>
            <w:hideMark/>
          </w:tcPr>
          <w:p w14:paraId="59ED4CF3"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261,6</w:t>
            </w:r>
          </w:p>
        </w:tc>
        <w:tc>
          <w:tcPr>
            <w:tcW w:w="1559" w:type="dxa"/>
            <w:tcBorders>
              <w:top w:val="nil"/>
              <w:left w:val="nil"/>
              <w:bottom w:val="single" w:sz="12" w:space="0" w:color="auto"/>
              <w:right w:val="single" w:sz="12" w:space="0" w:color="auto"/>
            </w:tcBorders>
            <w:shd w:val="clear" w:color="auto" w:fill="auto"/>
            <w:noWrap/>
            <w:vAlign w:val="bottom"/>
            <w:hideMark/>
          </w:tcPr>
          <w:p w14:paraId="7FADF026"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72,8</w:t>
            </w:r>
          </w:p>
        </w:tc>
        <w:tc>
          <w:tcPr>
            <w:tcW w:w="1559" w:type="dxa"/>
            <w:tcBorders>
              <w:top w:val="nil"/>
              <w:left w:val="nil"/>
              <w:bottom w:val="single" w:sz="12" w:space="0" w:color="auto"/>
              <w:right w:val="single" w:sz="12" w:space="0" w:color="auto"/>
            </w:tcBorders>
            <w:shd w:val="clear" w:color="auto" w:fill="auto"/>
            <w:noWrap/>
            <w:vAlign w:val="bottom"/>
            <w:hideMark/>
          </w:tcPr>
          <w:p w14:paraId="4EE2D4E5"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352,8</w:t>
            </w:r>
          </w:p>
        </w:tc>
        <w:tc>
          <w:tcPr>
            <w:tcW w:w="1410" w:type="dxa"/>
            <w:tcBorders>
              <w:top w:val="nil"/>
              <w:left w:val="nil"/>
              <w:bottom w:val="single" w:sz="12" w:space="0" w:color="auto"/>
              <w:right w:val="single" w:sz="12" w:space="0" w:color="auto"/>
            </w:tcBorders>
            <w:shd w:val="clear" w:color="auto" w:fill="auto"/>
            <w:noWrap/>
            <w:vAlign w:val="bottom"/>
            <w:hideMark/>
          </w:tcPr>
          <w:p w14:paraId="6F0E2F07"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90,6</w:t>
            </w:r>
          </w:p>
        </w:tc>
        <w:tc>
          <w:tcPr>
            <w:tcW w:w="1351" w:type="dxa"/>
            <w:tcBorders>
              <w:top w:val="nil"/>
              <w:left w:val="nil"/>
              <w:bottom w:val="single" w:sz="12" w:space="0" w:color="auto"/>
              <w:right w:val="single" w:sz="12" w:space="0" w:color="auto"/>
            </w:tcBorders>
            <w:shd w:val="clear" w:color="auto" w:fill="FFC000"/>
          </w:tcPr>
          <w:p w14:paraId="0E2F1795"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20,4%</w:t>
            </w:r>
          </w:p>
        </w:tc>
      </w:tr>
      <w:tr w:rsidR="0028280C" w:rsidRPr="003859F5" w14:paraId="38B1DAE5" w14:textId="77777777" w:rsidTr="00E43F48">
        <w:trPr>
          <w:trHeight w:val="310"/>
        </w:trPr>
        <w:tc>
          <w:tcPr>
            <w:tcW w:w="310" w:type="dxa"/>
            <w:tcBorders>
              <w:top w:val="nil"/>
              <w:left w:val="single" w:sz="12" w:space="0" w:color="auto"/>
              <w:bottom w:val="single" w:sz="12" w:space="0" w:color="auto"/>
              <w:right w:val="single" w:sz="12" w:space="0" w:color="auto"/>
            </w:tcBorders>
            <w:shd w:val="clear" w:color="auto" w:fill="92D050"/>
            <w:noWrap/>
            <w:vAlign w:val="bottom"/>
            <w:hideMark/>
          </w:tcPr>
          <w:p w14:paraId="39D02680"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2017</w:t>
            </w:r>
          </w:p>
        </w:tc>
        <w:tc>
          <w:tcPr>
            <w:tcW w:w="1560" w:type="dxa"/>
            <w:tcBorders>
              <w:top w:val="nil"/>
              <w:left w:val="nil"/>
              <w:bottom w:val="single" w:sz="12" w:space="0" w:color="auto"/>
              <w:right w:val="single" w:sz="12" w:space="0" w:color="auto"/>
            </w:tcBorders>
            <w:shd w:val="clear" w:color="auto" w:fill="auto"/>
            <w:noWrap/>
            <w:vAlign w:val="bottom"/>
            <w:hideMark/>
          </w:tcPr>
          <w:p w14:paraId="0161C004"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1431,6</w:t>
            </w:r>
          </w:p>
        </w:tc>
        <w:tc>
          <w:tcPr>
            <w:tcW w:w="1701" w:type="dxa"/>
            <w:tcBorders>
              <w:top w:val="nil"/>
              <w:left w:val="nil"/>
              <w:bottom w:val="single" w:sz="12" w:space="0" w:color="auto"/>
              <w:right w:val="single" w:sz="12" w:space="0" w:color="auto"/>
            </w:tcBorders>
            <w:shd w:val="clear" w:color="auto" w:fill="auto"/>
            <w:noWrap/>
            <w:vAlign w:val="bottom"/>
            <w:hideMark/>
          </w:tcPr>
          <w:p w14:paraId="1E0FFFD2"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331,3</w:t>
            </w:r>
          </w:p>
        </w:tc>
        <w:tc>
          <w:tcPr>
            <w:tcW w:w="1559" w:type="dxa"/>
            <w:tcBorders>
              <w:top w:val="nil"/>
              <w:left w:val="nil"/>
              <w:bottom w:val="single" w:sz="12" w:space="0" w:color="auto"/>
              <w:right w:val="single" w:sz="12" w:space="0" w:color="auto"/>
            </w:tcBorders>
            <w:shd w:val="clear" w:color="auto" w:fill="auto"/>
            <w:noWrap/>
            <w:vAlign w:val="bottom"/>
            <w:hideMark/>
          </w:tcPr>
          <w:p w14:paraId="66D5CEC4"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93,2</w:t>
            </w:r>
          </w:p>
        </w:tc>
        <w:tc>
          <w:tcPr>
            <w:tcW w:w="1559" w:type="dxa"/>
            <w:tcBorders>
              <w:top w:val="nil"/>
              <w:left w:val="nil"/>
              <w:bottom w:val="single" w:sz="12" w:space="0" w:color="auto"/>
              <w:right w:val="single" w:sz="12" w:space="0" w:color="auto"/>
            </w:tcBorders>
            <w:shd w:val="clear" w:color="auto" w:fill="auto"/>
            <w:noWrap/>
            <w:vAlign w:val="bottom"/>
            <w:hideMark/>
          </w:tcPr>
          <w:p w14:paraId="336A1261"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370,3</w:t>
            </w:r>
          </w:p>
        </w:tc>
        <w:tc>
          <w:tcPr>
            <w:tcW w:w="1410" w:type="dxa"/>
            <w:tcBorders>
              <w:top w:val="nil"/>
              <w:left w:val="nil"/>
              <w:bottom w:val="single" w:sz="12" w:space="0" w:color="auto"/>
              <w:right w:val="single" w:sz="12" w:space="0" w:color="auto"/>
            </w:tcBorders>
            <w:shd w:val="clear" w:color="auto" w:fill="auto"/>
            <w:noWrap/>
            <w:vAlign w:val="bottom"/>
            <w:hideMark/>
          </w:tcPr>
          <w:p w14:paraId="074FD4E1"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105,9</w:t>
            </w:r>
          </w:p>
        </w:tc>
        <w:tc>
          <w:tcPr>
            <w:tcW w:w="1351" w:type="dxa"/>
            <w:tcBorders>
              <w:top w:val="nil"/>
              <w:left w:val="nil"/>
              <w:bottom w:val="single" w:sz="12" w:space="0" w:color="auto"/>
              <w:right w:val="single" w:sz="12" w:space="0" w:color="auto"/>
            </w:tcBorders>
            <w:shd w:val="clear" w:color="auto" w:fill="FFC000"/>
          </w:tcPr>
          <w:p w14:paraId="1CA673B6"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23,1%</w:t>
            </w:r>
          </w:p>
        </w:tc>
      </w:tr>
      <w:tr w:rsidR="0028280C" w:rsidRPr="003859F5" w14:paraId="5B2D0E6D" w14:textId="77777777" w:rsidTr="00E43F48">
        <w:trPr>
          <w:trHeight w:val="310"/>
        </w:trPr>
        <w:tc>
          <w:tcPr>
            <w:tcW w:w="310" w:type="dxa"/>
            <w:tcBorders>
              <w:top w:val="nil"/>
              <w:left w:val="single" w:sz="12" w:space="0" w:color="auto"/>
              <w:bottom w:val="single" w:sz="12" w:space="0" w:color="auto"/>
              <w:right w:val="single" w:sz="12" w:space="0" w:color="auto"/>
            </w:tcBorders>
            <w:shd w:val="clear" w:color="auto" w:fill="92D050"/>
            <w:noWrap/>
            <w:vAlign w:val="bottom"/>
            <w:hideMark/>
          </w:tcPr>
          <w:p w14:paraId="1A274B80"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2018</w:t>
            </w:r>
          </w:p>
        </w:tc>
        <w:tc>
          <w:tcPr>
            <w:tcW w:w="1560" w:type="dxa"/>
            <w:tcBorders>
              <w:top w:val="nil"/>
              <w:left w:val="nil"/>
              <w:bottom w:val="single" w:sz="12" w:space="0" w:color="auto"/>
              <w:right w:val="single" w:sz="12" w:space="0" w:color="auto"/>
            </w:tcBorders>
            <w:shd w:val="clear" w:color="auto" w:fill="auto"/>
            <w:noWrap/>
            <w:vAlign w:val="bottom"/>
            <w:hideMark/>
          </w:tcPr>
          <w:p w14:paraId="70882BD6"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1597,6</w:t>
            </w:r>
          </w:p>
        </w:tc>
        <w:tc>
          <w:tcPr>
            <w:tcW w:w="1701" w:type="dxa"/>
            <w:tcBorders>
              <w:top w:val="nil"/>
              <w:left w:val="nil"/>
              <w:bottom w:val="single" w:sz="12" w:space="0" w:color="auto"/>
              <w:right w:val="single" w:sz="12" w:space="0" w:color="auto"/>
            </w:tcBorders>
            <w:shd w:val="clear" w:color="auto" w:fill="auto"/>
            <w:noWrap/>
            <w:vAlign w:val="bottom"/>
            <w:hideMark/>
          </w:tcPr>
          <w:p w14:paraId="3306B5BE"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397,5</w:t>
            </w:r>
          </w:p>
        </w:tc>
        <w:tc>
          <w:tcPr>
            <w:tcW w:w="1559" w:type="dxa"/>
            <w:tcBorders>
              <w:top w:val="nil"/>
              <w:left w:val="nil"/>
              <w:bottom w:val="single" w:sz="12" w:space="0" w:color="auto"/>
              <w:right w:val="single" w:sz="12" w:space="0" w:color="auto"/>
            </w:tcBorders>
            <w:shd w:val="clear" w:color="auto" w:fill="auto"/>
            <w:noWrap/>
            <w:vAlign w:val="bottom"/>
            <w:hideMark/>
          </w:tcPr>
          <w:p w14:paraId="2376FD63"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73,8</w:t>
            </w:r>
          </w:p>
        </w:tc>
        <w:tc>
          <w:tcPr>
            <w:tcW w:w="1559" w:type="dxa"/>
            <w:tcBorders>
              <w:top w:val="nil"/>
              <w:left w:val="nil"/>
              <w:bottom w:val="single" w:sz="12" w:space="0" w:color="auto"/>
              <w:right w:val="single" w:sz="12" w:space="0" w:color="auto"/>
            </w:tcBorders>
            <w:shd w:val="clear" w:color="auto" w:fill="auto"/>
            <w:noWrap/>
            <w:vAlign w:val="bottom"/>
            <w:hideMark/>
          </w:tcPr>
          <w:p w14:paraId="26E37DC2"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456,1</w:t>
            </w:r>
          </w:p>
        </w:tc>
        <w:tc>
          <w:tcPr>
            <w:tcW w:w="1410" w:type="dxa"/>
            <w:tcBorders>
              <w:top w:val="nil"/>
              <w:left w:val="nil"/>
              <w:bottom w:val="single" w:sz="12" w:space="0" w:color="auto"/>
              <w:right w:val="single" w:sz="12" w:space="0" w:color="auto"/>
            </w:tcBorders>
            <w:shd w:val="clear" w:color="auto" w:fill="auto"/>
            <w:noWrap/>
            <w:vAlign w:val="bottom"/>
            <w:hideMark/>
          </w:tcPr>
          <w:p w14:paraId="005C3733"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81,7</w:t>
            </w:r>
          </w:p>
        </w:tc>
        <w:tc>
          <w:tcPr>
            <w:tcW w:w="1351" w:type="dxa"/>
            <w:tcBorders>
              <w:top w:val="nil"/>
              <w:left w:val="nil"/>
              <w:bottom w:val="single" w:sz="12" w:space="0" w:color="auto"/>
              <w:right w:val="single" w:sz="12" w:space="0" w:color="auto"/>
            </w:tcBorders>
            <w:shd w:val="clear" w:color="auto" w:fill="FFC000"/>
          </w:tcPr>
          <w:p w14:paraId="6CBE4A16"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24,9%</w:t>
            </w:r>
          </w:p>
        </w:tc>
      </w:tr>
      <w:tr w:rsidR="0028280C" w:rsidRPr="003859F5" w14:paraId="7D36C22E" w14:textId="77777777" w:rsidTr="00E43F48">
        <w:trPr>
          <w:trHeight w:val="310"/>
        </w:trPr>
        <w:tc>
          <w:tcPr>
            <w:tcW w:w="310" w:type="dxa"/>
            <w:tcBorders>
              <w:top w:val="nil"/>
              <w:left w:val="single" w:sz="12" w:space="0" w:color="auto"/>
              <w:bottom w:val="single" w:sz="12" w:space="0" w:color="auto"/>
              <w:right w:val="single" w:sz="12" w:space="0" w:color="auto"/>
            </w:tcBorders>
            <w:shd w:val="clear" w:color="auto" w:fill="92D050"/>
            <w:noWrap/>
            <w:vAlign w:val="bottom"/>
            <w:hideMark/>
          </w:tcPr>
          <w:p w14:paraId="6A8F4B21"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2019</w:t>
            </w:r>
          </w:p>
        </w:tc>
        <w:tc>
          <w:tcPr>
            <w:tcW w:w="1560" w:type="dxa"/>
            <w:tcBorders>
              <w:top w:val="nil"/>
              <w:left w:val="nil"/>
              <w:bottom w:val="single" w:sz="12" w:space="0" w:color="auto"/>
              <w:right w:val="single" w:sz="12" w:space="0" w:color="auto"/>
            </w:tcBorders>
            <w:shd w:val="clear" w:color="auto" w:fill="auto"/>
            <w:noWrap/>
            <w:vAlign w:val="bottom"/>
            <w:hideMark/>
          </w:tcPr>
          <w:p w14:paraId="16422189"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1717,5</w:t>
            </w:r>
          </w:p>
        </w:tc>
        <w:tc>
          <w:tcPr>
            <w:tcW w:w="1701" w:type="dxa"/>
            <w:tcBorders>
              <w:top w:val="nil"/>
              <w:left w:val="nil"/>
              <w:bottom w:val="single" w:sz="12" w:space="0" w:color="auto"/>
              <w:right w:val="single" w:sz="12" w:space="0" w:color="auto"/>
            </w:tcBorders>
            <w:shd w:val="clear" w:color="auto" w:fill="auto"/>
            <w:noWrap/>
            <w:vAlign w:val="bottom"/>
            <w:hideMark/>
          </w:tcPr>
          <w:p w14:paraId="020D3181"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419,1</w:t>
            </w:r>
          </w:p>
        </w:tc>
        <w:tc>
          <w:tcPr>
            <w:tcW w:w="1559" w:type="dxa"/>
            <w:tcBorders>
              <w:top w:val="nil"/>
              <w:left w:val="nil"/>
              <w:bottom w:val="single" w:sz="12" w:space="0" w:color="auto"/>
              <w:right w:val="single" w:sz="12" w:space="0" w:color="auto"/>
            </w:tcBorders>
            <w:shd w:val="clear" w:color="auto" w:fill="auto"/>
            <w:noWrap/>
            <w:vAlign w:val="bottom"/>
            <w:hideMark/>
          </w:tcPr>
          <w:p w14:paraId="4F30E633"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81,2</w:t>
            </w:r>
          </w:p>
        </w:tc>
        <w:tc>
          <w:tcPr>
            <w:tcW w:w="1559" w:type="dxa"/>
            <w:tcBorders>
              <w:top w:val="nil"/>
              <w:left w:val="nil"/>
              <w:bottom w:val="single" w:sz="12" w:space="0" w:color="auto"/>
              <w:right w:val="single" w:sz="12" w:space="0" w:color="auto"/>
            </w:tcBorders>
            <w:shd w:val="clear" w:color="auto" w:fill="auto"/>
            <w:noWrap/>
            <w:vAlign w:val="bottom"/>
            <w:hideMark/>
          </w:tcPr>
          <w:p w14:paraId="21FBFF2F"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547,2</w:t>
            </w:r>
          </w:p>
        </w:tc>
        <w:tc>
          <w:tcPr>
            <w:tcW w:w="1410" w:type="dxa"/>
            <w:tcBorders>
              <w:top w:val="nil"/>
              <w:left w:val="nil"/>
              <w:bottom w:val="single" w:sz="12" w:space="0" w:color="auto"/>
              <w:right w:val="single" w:sz="12" w:space="0" w:color="auto"/>
            </w:tcBorders>
            <w:shd w:val="clear" w:color="auto" w:fill="auto"/>
            <w:noWrap/>
            <w:vAlign w:val="bottom"/>
            <w:hideMark/>
          </w:tcPr>
          <w:p w14:paraId="5B797195"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65,8</w:t>
            </w:r>
          </w:p>
        </w:tc>
        <w:tc>
          <w:tcPr>
            <w:tcW w:w="1351" w:type="dxa"/>
            <w:tcBorders>
              <w:top w:val="nil"/>
              <w:left w:val="nil"/>
              <w:bottom w:val="single" w:sz="12" w:space="0" w:color="auto"/>
              <w:right w:val="single" w:sz="12" w:space="0" w:color="auto"/>
            </w:tcBorders>
            <w:shd w:val="clear" w:color="auto" w:fill="FFC000"/>
          </w:tcPr>
          <w:p w14:paraId="5D075438"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24,4%</w:t>
            </w:r>
          </w:p>
        </w:tc>
      </w:tr>
      <w:tr w:rsidR="0028280C" w:rsidRPr="003859F5" w14:paraId="0AD5EC2B" w14:textId="77777777" w:rsidTr="00E43F48">
        <w:trPr>
          <w:trHeight w:val="310"/>
        </w:trPr>
        <w:tc>
          <w:tcPr>
            <w:tcW w:w="310" w:type="dxa"/>
            <w:tcBorders>
              <w:top w:val="nil"/>
              <w:left w:val="single" w:sz="12" w:space="0" w:color="auto"/>
              <w:bottom w:val="single" w:sz="12" w:space="0" w:color="auto"/>
              <w:right w:val="single" w:sz="12" w:space="0" w:color="auto"/>
            </w:tcBorders>
            <w:shd w:val="clear" w:color="auto" w:fill="92D050"/>
            <w:noWrap/>
            <w:vAlign w:val="bottom"/>
            <w:hideMark/>
          </w:tcPr>
          <w:p w14:paraId="38C456BF"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2020</w:t>
            </w:r>
          </w:p>
        </w:tc>
        <w:tc>
          <w:tcPr>
            <w:tcW w:w="1560" w:type="dxa"/>
            <w:tcBorders>
              <w:top w:val="nil"/>
              <w:left w:val="nil"/>
              <w:bottom w:val="single" w:sz="12" w:space="0" w:color="auto"/>
              <w:right w:val="single" w:sz="12" w:space="0" w:color="auto"/>
            </w:tcBorders>
            <w:shd w:val="clear" w:color="auto" w:fill="auto"/>
            <w:noWrap/>
            <w:vAlign w:val="bottom"/>
            <w:hideMark/>
          </w:tcPr>
          <w:p w14:paraId="5F40B6ED"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1726,0</w:t>
            </w:r>
          </w:p>
        </w:tc>
        <w:tc>
          <w:tcPr>
            <w:tcW w:w="1701" w:type="dxa"/>
            <w:tcBorders>
              <w:top w:val="nil"/>
              <w:left w:val="nil"/>
              <w:bottom w:val="single" w:sz="12" w:space="0" w:color="auto"/>
              <w:right w:val="single" w:sz="12" w:space="0" w:color="auto"/>
            </w:tcBorders>
            <w:shd w:val="clear" w:color="auto" w:fill="auto"/>
            <w:noWrap/>
            <w:vAlign w:val="bottom"/>
            <w:hideMark/>
          </w:tcPr>
          <w:p w14:paraId="50B67E42"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455,1</w:t>
            </w:r>
          </w:p>
        </w:tc>
        <w:tc>
          <w:tcPr>
            <w:tcW w:w="1559" w:type="dxa"/>
            <w:tcBorders>
              <w:top w:val="nil"/>
              <w:left w:val="nil"/>
              <w:bottom w:val="single" w:sz="12" w:space="0" w:color="auto"/>
              <w:right w:val="single" w:sz="12" w:space="0" w:color="auto"/>
            </w:tcBorders>
            <w:shd w:val="clear" w:color="auto" w:fill="auto"/>
            <w:noWrap/>
            <w:vAlign w:val="bottom"/>
            <w:hideMark/>
          </w:tcPr>
          <w:p w14:paraId="041693DB"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63,1</w:t>
            </w:r>
          </w:p>
        </w:tc>
        <w:tc>
          <w:tcPr>
            <w:tcW w:w="1559" w:type="dxa"/>
            <w:tcBorders>
              <w:top w:val="nil"/>
              <w:left w:val="nil"/>
              <w:bottom w:val="single" w:sz="12" w:space="0" w:color="auto"/>
              <w:right w:val="single" w:sz="12" w:space="0" w:color="auto"/>
            </w:tcBorders>
            <w:shd w:val="clear" w:color="auto" w:fill="auto"/>
            <w:noWrap/>
            <w:vAlign w:val="bottom"/>
            <w:hideMark/>
          </w:tcPr>
          <w:p w14:paraId="7132DEEB"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537,2</w:t>
            </w:r>
          </w:p>
        </w:tc>
        <w:tc>
          <w:tcPr>
            <w:tcW w:w="1410" w:type="dxa"/>
            <w:tcBorders>
              <w:top w:val="nil"/>
              <w:left w:val="nil"/>
              <w:bottom w:val="single" w:sz="12" w:space="0" w:color="auto"/>
              <w:right w:val="single" w:sz="12" w:space="0" w:color="auto"/>
            </w:tcBorders>
            <w:shd w:val="clear" w:color="auto" w:fill="auto"/>
            <w:noWrap/>
            <w:vAlign w:val="bottom"/>
            <w:hideMark/>
          </w:tcPr>
          <w:p w14:paraId="479EDD93"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61,9</w:t>
            </w:r>
          </w:p>
        </w:tc>
        <w:tc>
          <w:tcPr>
            <w:tcW w:w="1351" w:type="dxa"/>
            <w:tcBorders>
              <w:top w:val="nil"/>
              <w:left w:val="nil"/>
              <w:bottom w:val="single" w:sz="12" w:space="0" w:color="auto"/>
              <w:right w:val="single" w:sz="12" w:space="0" w:color="auto"/>
            </w:tcBorders>
            <w:shd w:val="clear" w:color="auto" w:fill="FFC000"/>
          </w:tcPr>
          <w:p w14:paraId="34A72226" w14:textId="77777777" w:rsidR="0028280C" w:rsidRPr="00196DA4" w:rsidRDefault="0028280C" w:rsidP="00E43F48">
            <w:pPr>
              <w:pStyle w:val="Sansinterligne"/>
              <w:rPr>
                <w:rFonts w:ascii="Times New Roman" w:hAnsi="Times New Roman" w:cs="Times New Roman"/>
                <w:lang w:eastAsia="fr-FR"/>
              </w:rPr>
            </w:pPr>
            <w:r w:rsidRPr="00196DA4">
              <w:rPr>
                <w:rFonts w:ascii="Times New Roman" w:hAnsi="Times New Roman" w:cs="Times New Roman"/>
                <w:lang w:eastAsia="fr-FR"/>
              </w:rPr>
              <w:t>26,4%</w:t>
            </w:r>
          </w:p>
        </w:tc>
      </w:tr>
    </w:tbl>
    <w:p w14:paraId="0FED779F" w14:textId="15642700" w:rsidR="0028280C" w:rsidRPr="00EA4DC3" w:rsidRDefault="0028280C" w:rsidP="00EA4DC3">
      <w:pPr>
        <w:rPr>
          <w:b/>
          <w:sz w:val="24"/>
          <w:szCs w:val="24"/>
        </w:rPr>
      </w:pPr>
      <w:r w:rsidRPr="000E4F65">
        <w:rPr>
          <w:b/>
          <w:sz w:val="24"/>
          <w:szCs w:val="24"/>
        </w:rPr>
        <w:t>So</w:t>
      </w:r>
      <w:r w:rsidR="00EA4DC3">
        <w:rPr>
          <w:b/>
          <w:sz w:val="24"/>
          <w:szCs w:val="24"/>
        </w:rPr>
        <w:t>urce: BCEAO</w:t>
      </w:r>
    </w:p>
    <w:p w14:paraId="2412D2CC" w14:textId="301E30AC" w:rsidR="0028280C" w:rsidRPr="00250138" w:rsidRDefault="0028280C" w:rsidP="0028280C">
      <w:pPr>
        <w:pStyle w:val="NormalWeb"/>
        <w:pBdr>
          <w:top w:val="single" w:sz="4" w:space="1" w:color="auto"/>
          <w:left w:val="single" w:sz="4" w:space="4" w:color="auto"/>
          <w:bottom w:val="single" w:sz="4" w:space="1" w:color="auto"/>
          <w:right w:val="single" w:sz="4" w:space="4" w:color="auto"/>
        </w:pBdr>
        <w:shd w:val="clear" w:color="auto" w:fill="92D050"/>
        <w:jc w:val="both"/>
        <w:rPr>
          <w:i/>
          <w:sz w:val="22"/>
          <w:szCs w:val="22"/>
        </w:rPr>
      </w:pPr>
      <w:r>
        <w:rPr>
          <w:color w:val="000000" w:themeColor="text1"/>
          <w:sz w:val="22"/>
          <w:szCs w:val="22"/>
        </w:rPr>
        <w:t xml:space="preserve">Dans le domaine de la gouvernance économique, l’analyse causale a mis en relief le problème central suivant : </w:t>
      </w:r>
      <w:r w:rsidRPr="00C7554A">
        <w:rPr>
          <w:b/>
          <w:i/>
          <w:color w:val="000000" w:themeColor="text1"/>
        </w:rPr>
        <w:t>La faible opérationnalisation de la chaine PPBS (articulation  entre la planification et la budgétisation)</w:t>
      </w:r>
      <w:r w:rsidRPr="00C7554A">
        <w:rPr>
          <w:b/>
          <w:i/>
        </w:rPr>
        <w:t>.</w:t>
      </w:r>
      <w:r>
        <w:rPr>
          <w:sz w:val="22"/>
          <w:szCs w:val="22"/>
        </w:rPr>
        <w:t xml:space="preserve"> Celui</w:t>
      </w:r>
      <w:r w:rsidR="00DF2BA1">
        <w:rPr>
          <w:sz w:val="22"/>
          <w:szCs w:val="22"/>
        </w:rPr>
        <w:t>-ci</w:t>
      </w:r>
      <w:r>
        <w:rPr>
          <w:sz w:val="22"/>
          <w:szCs w:val="22"/>
        </w:rPr>
        <w:t xml:space="preserve"> est dû aux principales causes suivantes : </w:t>
      </w:r>
      <w:r w:rsidRPr="00C7554A">
        <w:rPr>
          <w:i/>
          <w:sz w:val="22"/>
          <w:szCs w:val="22"/>
        </w:rPr>
        <w:t xml:space="preserve">La faiblesse de la coordination entre les structures centrales de planification stratégique et les structures centrales d'exécution budgétaire ; Le faible niveau de développement et de dynamisme du secteur privé ; </w:t>
      </w:r>
      <w:r w:rsidRPr="00C7554A">
        <w:rPr>
          <w:i/>
        </w:rPr>
        <w:t xml:space="preserve"> L’insuffisance dans l’articulation de la chaine de planification au niveau national, sectoriel, régional</w:t>
      </w:r>
      <w:r w:rsidR="00C51664">
        <w:rPr>
          <w:i/>
        </w:rPr>
        <w:t xml:space="preserve"> et local ; </w:t>
      </w:r>
      <w:r w:rsidRPr="00C7554A">
        <w:rPr>
          <w:i/>
        </w:rPr>
        <w:t>L’</w:t>
      </w:r>
      <w:r w:rsidRPr="00C7554A">
        <w:rPr>
          <w:i/>
          <w:sz w:val="22"/>
          <w:szCs w:val="22"/>
        </w:rPr>
        <w:t>Insuffisance de cohérence entre les cadres stratégiques sectoriels, PDR/PDC et les orientations nationales </w:t>
      </w:r>
      <w:r w:rsidRPr="00C7554A">
        <w:rPr>
          <w:i/>
        </w:rPr>
        <w:t>; La f</w:t>
      </w:r>
      <w:r w:rsidRPr="00C7554A">
        <w:rPr>
          <w:i/>
          <w:sz w:val="22"/>
          <w:szCs w:val="22"/>
        </w:rPr>
        <w:t>aible diversification de l'économie nigérienne</w:t>
      </w:r>
      <w:bookmarkStart w:id="115" w:name="_Toc84789672"/>
      <w:r w:rsidR="00DF2BA1">
        <w:rPr>
          <w:i/>
          <w:sz w:val="22"/>
          <w:szCs w:val="22"/>
        </w:rPr>
        <w:t> ; Le faible développement des chaînes de valeurs et leur faible insertion aux chaînes de valeurs sous-régionales et régionales</w:t>
      </w:r>
    </w:p>
    <w:p w14:paraId="012DB341" w14:textId="77777777" w:rsidR="0028280C" w:rsidRPr="00E25B1F" w:rsidRDefault="0028280C" w:rsidP="00E25B1F">
      <w:pPr>
        <w:pStyle w:val="Titre2"/>
        <w:rPr>
          <w:rFonts w:ascii="Bernard MT Condensed" w:hAnsi="Bernard MT Condensed"/>
        </w:rPr>
      </w:pPr>
      <w:bookmarkStart w:id="116" w:name="_Toc86687721"/>
      <w:bookmarkStart w:id="117" w:name="_Toc89479403"/>
      <w:bookmarkStart w:id="118" w:name="_Toc89480901"/>
      <w:bookmarkStart w:id="119" w:name="_Toc94480143"/>
      <w:bookmarkStart w:id="120" w:name="_Toc94481804"/>
      <w:bookmarkStart w:id="121" w:name="_Toc94482067"/>
      <w:r w:rsidRPr="00E25B1F">
        <w:rPr>
          <w:rFonts w:ascii="Bernard MT Condensed" w:hAnsi="Bernard MT Condensed"/>
        </w:rPr>
        <w:t>I.4 - Etat des lieux de la situation sociale</w:t>
      </w:r>
      <w:bookmarkEnd w:id="115"/>
      <w:bookmarkEnd w:id="116"/>
      <w:bookmarkEnd w:id="117"/>
      <w:bookmarkEnd w:id="118"/>
      <w:bookmarkEnd w:id="119"/>
      <w:bookmarkEnd w:id="120"/>
      <w:bookmarkEnd w:id="121"/>
    </w:p>
    <w:p w14:paraId="5142819B" w14:textId="630FEA1A" w:rsidR="0028280C" w:rsidRPr="00196DA4" w:rsidRDefault="0028280C" w:rsidP="0028280C">
      <w:pPr>
        <w:jc w:val="both"/>
      </w:pPr>
      <w:r>
        <w:rPr>
          <w:rFonts w:ascii="Times New Roman" w:eastAsia="Times New Roman" w:hAnsi="Times New Roman" w:cs="Times New Roman"/>
          <w:lang w:eastAsia="fr-FR"/>
        </w:rPr>
        <w:t>En dépit des progrès notables enregistrés par le pays au cours des dix dernières années, la situation sociale reste caractérisée par un faible</w:t>
      </w:r>
      <w:r w:rsidRPr="00FE389F">
        <w:rPr>
          <w:rFonts w:ascii="Times New Roman" w:eastAsia="Times New Roman" w:hAnsi="Times New Roman" w:cs="Times New Roman"/>
          <w:lang w:eastAsia="fr-FR"/>
        </w:rPr>
        <w:t xml:space="preserve"> niveau de développement humain </w:t>
      </w:r>
      <w:r>
        <w:rPr>
          <w:rFonts w:ascii="Times New Roman" w:eastAsia="Times New Roman" w:hAnsi="Times New Roman" w:cs="Times New Roman"/>
          <w:lang w:eastAsia="fr-FR"/>
        </w:rPr>
        <w:t xml:space="preserve">qui est très perceptible à travers la pauvreté multidimensionnelle </w:t>
      </w:r>
      <w:r w:rsidR="00DF2BA1">
        <w:rPr>
          <w:rFonts w:ascii="Times New Roman" w:eastAsia="Times New Roman" w:hAnsi="Times New Roman" w:cs="Times New Roman"/>
          <w:lang w:eastAsia="fr-FR"/>
        </w:rPr>
        <w:t>caractérisée</w:t>
      </w:r>
      <w:r w:rsidR="009B4099">
        <w:rPr>
          <w:rFonts w:ascii="Times New Roman" w:eastAsia="Times New Roman" w:hAnsi="Times New Roman" w:cs="Times New Roman"/>
          <w:lang w:eastAsia="fr-FR"/>
        </w:rPr>
        <w:t xml:space="preserve"> </w:t>
      </w:r>
      <w:r w:rsidR="00DF2BA1">
        <w:rPr>
          <w:rFonts w:ascii="Times New Roman" w:eastAsia="Times New Roman" w:hAnsi="Times New Roman" w:cs="Times New Roman"/>
          <w:lang w:eastAsia="fr-FR"/>
        </w:rPr>
        <w:t xml:space="preserve">par de </w:t>
      </w:r>
      <w:r>
        <w:rPr>
          <w:rFonts w:ascii="Times New Roman" w:eastAsia="Times New Roman" w:hAnsi="Times New Roman" w:cs="Times New Roman"/>
          <w:lang w:eastAsia="fr-FR"/>
        </w:rPr>
        <w:t xml:space="preserve"> fortes privations que subissent les populations particulièrement celles vivant en milieu rural, les personnes et les groupes les plus vulnérables dans les domaines de l’éducation, la santé, la nutrition, l’eau, l’hygiène, l’assainissement, l’emploi et la protection sociale. E</w:t>
      </w:r>
      <w:r w:rsidRPr="00FE389F">
        <w:rPr>
          <w:rFonts w:ascii="Times New Roman" w:eastAsia="Times New Roman" w:hAnsi="Times New Roman" w:cs="Times New Roman"/>
          <w:lang w:eastAsia="fr-FR"/>
        </w:rPr>
        <w:t xml:space="preserve">ntre 1990 et 2019, l’IDH </w:t>
      </w:r>
      <w:r>
        <w:rPr>
          <w:rFonts w:ascii="Times New Roman" w:eastAsia="Times New Roman" w:hAnsi="Times New Roman" w:cs="Times New Roman"/>
          <w:lang w:eastAsia="fr-FR"/>
        </w:rPr>
        <w:t>a progressé de 0,22% à 0.39%</w:t>
      </w:r>
      <w:r w:rsidRPr="00FE389F">
        <w:rPr>
          <w:rFonts w:ascii="Times New Roman" w:eastAsia="Times New Roman" w:hAnsi="Times New Roman" w:cs="Times New Roman"/>
          <w:lang w:eastAsia="fr-FR"/>
        </w:rPr>
        <w:t xml:space="preserve"> (soit une hausse de 79.1 %).</w:t>
      </w:r>
      <w:r>
        <w:rPr>
          <w:rFonts w:ascii="Times New Roman" w:eastAsia="Times New Roman" w:hAnsi="Times New Roman" w:cs="Times New Roman"/>
          <w:lang w:eastAsia="fr-FR"/>
        </w:rPr>
        <w:t xml:space="preserve"> La pauvreté est un déni de droits humains. Elle affecte la dignité humaine. En effet, la constitution de 2010 stipule en son article 12 que « </w:t>
      </w:r>
      <w:r w:rsidRPr="00A75A21">
        <w:rPr>
          <w:rFonts w:ascii="Times New Roman" w:hAnsi="Times New Roman" w:cs="Times New Roman"/>
          <w:i/>
        </w:rPr>
        <w:t>Chacun a droit à la vie, à la santé, à l'intégrité physique et morale, à une alimentation saine et suffisante, à l'eau potable, à l'éducation et à l'instruction dans les conditions définies par la loi. L'Etat assure à chacun la satisfaction des besoins et services essentiels ainsi qu'un plein épanouissement</w:t>
      </w:r>
      <w:r>
        <w:t xml:space="preserve"> ». </w:t>
      </w:r>
    </w:p>
    <w:p w14:paraId="7F72EB9A" w14:textId="77777777" w:rsidR="0028280C" w:rsidRPr="00E25B1F" w:rsidRDefault="0028280C" w:rsidP="00E25B1F">
      <w:pPr>
        <w:pStyle w:val="Titre3"/>
        <w:rPr>
          <w:rFonts w:ascii="Bernard MT Condensed" w:hAnsi="Bernard MT Condensed"/>
        </w:rPr>
      </w:pPr>
      <w:bookmarkStart w:id="122" w:name="_Toc86687722"/>
      <w:bookmarkStart w:id="123" w:name="_Toc89479404"/>
      <w:bookmarkStart w:id="124" w:name="_Toc89480902"/>
      <w:bookmarkStart w:id="125" w:name="_Toc94480144"/>
      <w:bookmarkStart w:id="126" w:name="_Toc94481805"/>
      <w:bookmarkStart w:id="127" w:name="_Toc94482068"/>
      <w:bookmarkStart w:id="128" w:name="_Toc84789673"/>
      <w:r w:rsidRPr="00E25B1F">
        <w:rPr>
          <w:rFonts w:ascii="Bernard MT Condensed" w:hAnsi="Bernard MT Condensed"/>
        </w:rPr>
        <w:lastRenderedPageBreak/>
        <w:t>I.4.1 - Pauvreté</w:t>
      </w:r>
      <w:bookmarkEnd w:id="122"/>
      <w:bookmarkEnd w:id="123"/>
      <w:bookmarkEnd w:id="124"/>
      <w:bookmarkEnd w:id="125"/>
      <w:bookmarkEnd w:id="126"/>
      <w:bookmarkEnd w:id="127"/>
      <w:r w:rsidRPr="00E25B1F">
        <w:rPr>
          <w:rFonts w:ascii="Bernard MT Condensed" w:hAnsi="Bernard MT Condensed"/>
        </w:rPr>
        <w:t xml:space="preserve"> </w:t>
      </w:r>
      <w:bookmarkEnd w:id="128"/>
    </w:p>
    <w:p w14:paraId="76C56582" w14:textId="1EAED96C" w:rsidR="0028280C" w:rsidRPr="00270D39" w:rsidRDefault="0028280C" w:rsidP="0028280C">
      <w:pPr>
        <w:jc w:val="both"/>
        <w:rPr>
          <w:rFonts w:ascii="Times New Roman" w:hAnsi="Times New Roman" w:cs="Times New Roman"/>
          <w:color w:val="000000" w:themeColor="text1"/>
        </w:rPr>
      </w:pPr>
      <w:r>
        <w:rPr>
          <w:rFonts w:ascii="Times New Roman" w:eastAsia="Times New Roman" w:hAnsi="Times New Roman" w:cs="Times New Roman"/>
          <w:lang w:eastAsia="fr-FR"/>
        </w:rPr>
        <w:t>Au Niger, l</w:t>
      </w:r>
      <w:r w:rsidRPr="00FE389F">
        <w:rPr>
          <w:rFonts w:ascii="Times New Roman" w:eastAsia="Times New Roman" w:hAnsi="Times New Roman" w:cs="Times New Roman"/>
          <w:lang w:eastAsia="fr-FR"/>
        </w:rPr>
        <w:t>e taux de pauvreté est passé de 48,2% en 2011 (</w:t>
      </w:r>
      <w:r>
        <w:rPr>
          <w:rFonts w:ascii="Times New Roman" w:eastAsia="Times New Roman" w:hAnsi="Times New Roman" w:cs="Times New Roman"/>
          <w:lang w:eastAsia="fr-FR"/>
        </w:rPr>
        <w:t>ECVMA) à 40,8% en 2019 (EHCVM) tandis</w:t>
      </w:r>
      <w:r w:rsidRPr="00FE389F">
        <w:rPr>
          <w:rFonts w:ascii="Times New Roman" w:eastAsia="Times New Roman" w:hAnsi="Times New Roman" w:cs="Times New Roman"/>
          <w:lang w:eastAsia="fr-FR"/>
        </w:rPr>
        <w:t xml:space="preserve"> </w:t>
      </w:r>
      <w:r w:rsidRPr="0026015C">
        <w:rPr>
          <w:rFonts w:ascii="Times New Roman" w:eastAsia="Times New Roman" w:hAnsi="Times New Roman" w:cs="Times New Roman"/>
          <w:lang w:eastAsia="fr-FR"/>
        </w:rPr>
        <w:t>que le nombre de pauvres</w:t>
      </w:r>
      <w:r w:rsidRPr="0026015C">
        <w:rPr>
          <w:rStyle w:val="Appelnotedebasdep"/>
          <w:rFonts w:ascii="Times New Roman" w:eastAsia="Times New Roman" w:hAnsi="Times New Roman" w:cs="Times New Roman"/>
          <w:lang w:eastAsia="fr-FR"/>
        </w:rPr>
        <w:footnoteReference w:id="25"/>
      </w:r>
      <w:r w:rsidRPr="0026015C">
        <w:rPr>
          <w:rFonts w:ascii="Times New Roman" w:eastAsia="Times New Roman" w:hAnsi="Times New Roman" w:cs="Times New Roman"/>
          <w:lang w:eastAsia="fr-FR"/>
        </w:rPr>
        <w:t xml:space="preserve"> a augmenté d’environ un demi-million de personnes sur la même période. </w:t>
      </w:r>
      <w:r w:rsidRPr="0026015C">
        <w:rPr>
          <w:rFonts w:ascii="Times New Roman" w:hAnsi="Times New Roman" w:cs="Times New Roman"/>
        </w:rPr>
        <w:t xml:space="preserve">En dépit de la légère baisse du taux d’extrême pauvreté (de 1,5 point de pourcentage entre 2015 et en 2018), le nombre de personnes vivant avec moins de 1,90 USD par jour a progressé de 416 </w:t>
      </w:r>
      <w:r w:rsidR="005963A6" w:rsidRPr="0026015C">
        <w:rPr>
          <w:rFonts w:ascii="Times New Roman" w:hAnsi="Times New Roman" w:cs="Times New Roman"/>
        </w:rPr>
        <w:t>millions en 2015 à 433 millions</w:t>
      </w:r>
      <w:r w:rsidRPr="0026015C">
        <w:rPr>
          <w:rFonts w:ascii="Times New Roman" w:hAnsi="Times New Roman" w:cs="Times New Roman"/>
        </w:rPr>
        <w:t xml:space="preserve"> en 2018, du fait de la forte croissance démographique.</w:t>
      </w:r>
      <w:r w:rsidRPr="0026015C">
        <w:rPr>
          <w:rFonts w:cs="Arial"/>
          <w:szCs w:val="24"/>
        </w:rPr>
        <w:t xml:space="preserve"> </w:t>
      </w:r>
      <w:r w:rsidRPr="0026015C">
        <w:rPr>
          <w:rFonts w:ascii="Times New Roman" w:hAnsi="Times New Roman" w:cs="Times New Roman"/>
          <w:szCs w:val="24"/>
        </w:rPr>
        <w:t>L’incidence de la pauvreté a diminué de 7,4 points de pourcentage au plan national entre 2011 et 2018/2019, en passant de 48,2% à 40,8%.</w:t>
      </w:r>
      <w:r w:rsidRPr="0026015C">
        <w:rPr>
          <w:rFonts w:cs="Arial"/>
          <w:szCs w:val="24"/>
        </w:rPr>
        <w:t xml:space="preserve">  </w:t>
      </w:r>
    </w:p>
    <w:p w14:paraId="0DD42218" w14:textId="761D3F17" w:rsidR="0028280C" w:rsidRPr="00270D39" w:rsidRDefault="0028280C" w:rsidP="0028280C">
      <w:pPr>
        <w:jc w:val="both"/>
        <w:rPr>
          <w:rFonts w:ascii="Times New Roman" w:hAnsi="Times New Roman" w:cs="Times New Roman"/>
        </w:rPr>
      </w:pPr>
      <w:r w:rsidRPr="00270D39">
        <w:rPr>
          <w:rFonts w:ascii="Times New Roman" w:hAnsi="Times New Roman" w:cs="Times New Roman"/>
        </w:rPr>
        <w:t xml:space="preserve">L’analyse spatiale de la pauvreté selon le milieu de résidence fait ressortir un écart très significatif entre les milieux urbain et rural. Ainsi, en milieu rural, la pauvreté touche 46,8 % de la population, contre 11,8% en milieu urbain. Les enfants </w:t>
      </w:r>
      <w:r w:rsidR="005963A6">
        <w:rPr>
          <w:rFonts w:ascii="Times New Roman" w:hAnsi="Times New Roman" w:cs="Times New Roman"/>
        </w:rPr>
        <w:t>représentent</w:t>
      </w:r>
      <w:r w:rsidRPr="00270D39">
        <w:rPr>
          <w:rFonts w:ascii="Times New Roman" w:hAnsi="Times New Roman" w:cs="Times New Roman"/>
        </w:rPr>
        <w:t xml:space="preserve"> 4% </w:t>
      </w:r>
      <w:r w:rsidR="005963A6">
        <w:rPr>
          <w:rFonts w:ascii="Times New Roman" w:hAnsi="Times New Roman" w:cs="Times New Roman"/>
        </w:rPr>
        <w:t xml:space="preserve">de pauvres </w:t>
      </w:r>
      <w:r w:rsidRPr="00270D39">
        <w:rPr>
          <w:rFonts w:ascii="Times New Roman" w:hAnsi="Times New Roman" w:cs="Times New Roman"/>
        </w:rPr>
        <w:t>et les personnes âgées 6%. Cette situation pourrait compromettre l’atteinte de la cible ODD 1.3 et de la cible 3</w:t>
      </w:r>
      <w:r>
        <w:rPr>
          <w:rFonts w:ascii="Times New Roman" w:hAnsi="Times New Roman" w:cs="Times New Roman"/>
        </w:rPr>
        <w:t xml:space="preserve">.8 qui </w:t>
      </w:r>
      <w:r w:rsidR="005963A6">
        <w:rPr>
          <w:rFonts w:ascii="Times New Roman" w:hAnsi="Times New Roman" w:cs="Times New Roman"/>
        </w:rPr>
        <w:t xml:space="preserve">vise </w:t>
      </w:r>
      <w:r w:rsidR="00995A9E">
        <w:rPr>
          <w:rFonts w:ascii="Times New Roman" w:hAnsi="Times New Roman" w:cs="Times New Roman"/>
        </w:rPr>
        <w:t xml:space="preserve">respectivement </w:t>
      </w:r>
      <w:r w:rsidR="005963A6">
        <w:rPr>
          <w:rFonts w:ascii="Times New Roman" w:hAnsi="Times New Roman" w:cs="Times New Roman"/>
        </w:rPr>
        <w:t>l’accès d</w:t>
      </w:r>
      <w:sdt>
        <w:sdtPr>
          <w:rPr>
            <w:rFonts w:ascii="Times New Roman" w:hAnsi="Times New Roman" w:cs="Times New Roman"/>
          </w:rPr>
          <w:tag w:val="goog_rdk_33"/>
          <w:id w:val="172149141"/>
        </w:sdtPr>
        <w:sdtContent>
          <w:r w:rsidRPr="00270D39">
            <w:rPr>
              <w:rFonts w:ascii="Times New Roman" w:hAnsi="Times New Roman" w:cs="Times New Roman"/>
            </w:rPr>
            <w:t>'une</w:t>
          </w:r>
        </w:sdtContent>
      </w:sdt>
      <w:r w:rsidRPr="00270D39">
        <w:rPr>
          <w:rFonts w:ascii="Times New Roman" w:hAnsi="Times New Roman" w:cs="Times New Roman"/>
        </w:rPr>
        <w:t xml:space="preserve"> part importante des pauvres et des personnes vulnérables </w:t>
      </w:r>
      <w:r w:rsidR="005963A6">
        <w:rPr>
          <w:rFonts w:ascii="Times New Roman" w:hAnsi="Times New Roman" w:cs="Times New Roman"/>
        </w:rPr>
        <w:t>aux services de</w:t>
      </w:r>
      <w:r w:rsidRPr="00270D39">
        <w:rPr>
          <w:rFonts w:ascii="Times New Roman" w:hAnsi="Times New Roman" w:cs="Times New Roman"/>
        </w:rPr>
        <w:t xml:space="preserve"> protection sociale et </w:t>
      </w:r>
      <w:r w:rsidR="00995A9E">
        <w:rPr>
          <w:rFonts w:ascii="Times New Roman" w:hAnsi="Times New Roman" w:cs="Times New Roman"/>
        </w:rPr>
        <w:t>à la</w:t>
      </w:r>
      <w:r w:rsidRPr="00270D39">
        <w:rPr>
          <w:rFonts w:ascii="Times New Roman" w:hAnsi="Times New Roman" w:cs="Times New Roman"/>
        </w:rPr>
        <w:t xml:space="preserve"> couverture sanitaire universelle, comprenant une protection contre les risques financiers et donnant accès à des services de santé essentiels de qualité et à des médicaments et vaccins essentiels sûrs, efficaces, de qualité </w:t>
      </w:r>
      <w:r>
        <w:rPr>
          <w:rFonts w:ascii="Times New Roman" w:hAnsi="Times New Roman" w:cs="Times New Roman"/>
        </w:rPr>
        <w:t>et d’un coût abordable en 2030.</w:t>
      </w:r>
    </w:p>
    <w:p w14:paraId="1E2C9B8F" w14:textId="496D1ED9" w:rsidR="0028280C" w:rsidRPr="00831B44" w:rsidRDefault="0028280C" w:rsidP="0028280C">
      <w:pPr>
        <w:jc w:val="both"/>
        <w:rPr>
          <w:rFonts w:ascii="Times New Roman" w:hAnsi="Times New Roman" w:cs="Times New Roman"/>
        </w:rPr>
      </w:pPr>
      <w:r w:rsidRPr="00831B44">
        <w:rPr>
          <w:rFonts w:ascii="Times New Roman" w:hAnsi="Times New Roman" w:cs="Times New Roman"/>
        </w:rPr>
        <w:t>L’analyse selon les régions révèle aussi une incidence relativement élevée de la pauvreté, dépassant la moyenne nationale dans les régions de Dosso (48,4%), Zinder (47,8%), Maradi (46,1%) et Tillaberi (42,3%). Les régions les moins touc</w:t>
      </w:r>
      <w:r w:rsidR="00995A9E">
        <w:rPr>
          <w:rFonts w:ascii="Times New Roman" w:hAnsi="Times New Roman" w:cs="Times New Roman"/>
        </w:rPr>
        <w:t xml:space="preserve">hées sont : la ville de Niamey </w:t>
      </w:r>
      <w:r w:rsidRPr="00831B44">
        <w:rPr>
          <w:rFonts w:ascii="Times New Roman" w:hAnsi="Times New Roman" w:cs="Times New Roman"/>
        </w:rPr>
        <w:t>et la région d’Agadez</w:t>
      </w:r>
      <w:r w:rsidR="00995A9E">
        <w:rPr>
          <w:rFonts w:ascii="Times New Roman" w:hAnsi="Times New Roman" w:cs="Times New Roman"/>
        </w:rPr>
        <w:t> </w:t>
      </w:r>
      <w:r w:rsidRPr="00831B44">
        <w:rPr>
          <w:rFonts w:ascii="Times New Roman" w:hAnsi="Times New Roman" w:cs="Times New Roman"/>
        </w:rPr>
        <w:t xml:space="preserve">avec respectivement 6,9% et 14,6% d’individus touchés par la pauvreté. Il convient de souligner que la baisse observée de l’incidence de la pauvreté sur la période 2011-2018/2019, nonobstant son importance, ne s’est pas traduite </w:t>
      </w:r>
      <w:r w:rsidR="00995A9E">
        <w:rPr>
          <w:rFonts w:ascii="Times New Roman" w:hAnsi="Times New Roman" w:cs="Times New Roman"/>
        </w:rPr>
        <w:t>par</w:t>
      </w:r>
      <w:r w:rsidRPr="00831B44">
        <w:rPr>
          <w:rFonts w:ascii="Times New Roman" w:hAnsi="Times New Roman" w:cs="Times New Roman"/>
        </w:rPr>
        <w:t xml:space="preserve"> une baisse du nombre de pauvres. Au contraire, le nombre de pauvres s’est accru d’environ un million d’individus su</w:t>
      </w:r>
      <w:r w:rsidR="00995A9E">
        <w:rPr>
          <w:rFonts w:ascii="Times New Roman" w:hAnsi="Times New Roman" w:cs="Times New Roman"/>
        </w:rPr>
        <w:t>r la période. Cet accroissement est sans doute</w:t>
      </w:r>
      <w:r w:rsidRPr="00831B44">
        <w:rPr>
          <w:rFonts w:ascii="Times New Roman" w:hAnsi="Times New Roman" w:cs="Times New Roman"/>
        </w:rPr>
        <w:t xml:space="preserve"> le fait d’un croît démographique beaucoup plus important que la baisse du taux de pauvreté. </w:t>
      </w:r>
      <w:r w:rsidR="00995A9E">
        <w:rPr>
          <w:rFonts w:ascii="Times New Roman" w:hAnsi="Times New Roman" w:cs="Times New Roman"/>
        </w:rPr>
        <w:t>Il a également été observé un accroissement d</w:t>
      </w:r>
      <w:r w:rsidRPr="00831B44">
        <w:rPr>
          <w:rFonts w:ascii="Times New Roman" w:hAnsi="Times New Roman" w:cs="Times New Roman"/>
        </w:rPr>
        <w:t>es inégalités</w:t>
      </w:r>
      <w:r w:rsidR="00995A9E">
        <w:rPr>
          <w:rFonts w:ascii="Times New Roman" w:hAnsi="Times New Roman" w:cs="Times New Roman"/>
        </w:rPr>
        <w:t xml:space="preserve">. En effet,  au plan national, </w:t>
      </w:r>
      <w:r w:rsidRPr="00831B44">
        <w:rPr>
          <w:rFonts w:ascii="Times New Roman" w:hAnsi="Times New Roman" w:cs="Times New Roman"/>
        </w:rPr>
        <w:t xml:space="preserve">l'indice de Gini a légèrement augmenté entre 2011 et 2018/2019. </w:t>
      </w:r>
      <w:r w:rsidR="00995A9E">
        <w:rPr>
          <w:rFonts w:ascii="Times New Roman" w:hAnsi="Times New Roman" w:cs="Times New Roman"/>
        </w:rPr>
        <w:t>Il est passé</w:t>
      </w:r>
      <w:r w:rsidRPr="00831B44">
        <w:rPr>
          <w:rFonts w:ascii="Times New Roman" w:hAnsi="Times New Roman" w:cs="Times New Roman"/>
        </w:rPr>
        <w:t xml:space="preserve"> de 0,31 en 2011 à 0,35 en 2018/2019.</w:t>
      </w:r>
    </w:p>
    <w:p w14:paraId="30587034" w14:textId="324BD08B" w:rsidR="0028280C" w:rsidRDefault="0028280C" w:rsidP="0028280C">
      <w:pPr>
        <w:jc w:val="both"/>
        <w:rPr>
          <w:rFonts w:ascii="Times New Roman" w:hAnsi="Times New Roman" w:cs="Times New Roman"/>
          <w:szCs w:val="20"/>
        </w:rPr>
      </w:pPr>
      <w:r w:rsidRPr="00831B44">
        <w:rPr>
          <w:rFonts w:ascii="Times New Roman" w:hAnsi="Times New Roman" w:cs="Times New Roman"/>
          <w:color w:val="000000" w:themeColor="text1"/>
          <w:szCs w:val="20"/>
        </w:rPr>
        <w:t xml:space="preserve">La pauvreté revêt aussi un caractère multidimensionnel et touche inégalement tous les groupes socio-économiques et les différentes régions du pays. Malgré les progrès non négligeables enregistrés ces dernières années, le niveau de la plupart des indicateurs de la pauvreté reste préoccupant. Bien que le Niger et la Tanzanie aient des taux de pauvreté </w:t>
      </w:r>
      <w:r w:rsidRPr="00831B44">
        <w:rPr>
          <w:rFonts w:ascii="Times New Roman" w:hAnsi="Times New Roman" w:cs="Times New Roman"/>
          <w:szCs w:val="20"/>
        </w:rPr>
        <w:t xml:space="preserve">monétaire similaires (45,4 % et 49,4 %, respectivement), l'effet de la pauvreté multidimensionnelle est considérablement plus marqué au Niger (79,3 % contre 57,8 %), ce qui suggère que les privations non monétaires </w:t>
      </w:r>
      <w:r w:rsidR="003C14DA">
        <w:rPr>
          <w:rFonts w:ascii="Times New Roman" w:hAnsi="Times New Roman" w:cs="Times New Roman"/>
          <w:szCs w:val="20"/>
        </w:rPr>
        <w:t>sont plus marquées</w:t>
      </w:r>
      <w:r w:rsidRPr="00831B44">
        <w:rPr>
          <w:rFonts w:ascii="Times New Roman" w:hAnsi="Times New Roman" w:cs="Times New Roman"/>
          <w:szCs w:val="20"/>
        </w:rPr>
        <w:t xml:space="preserve"> au Niger. Il s’agit </w:t>
      </w:r>
      <w:r w:rsidR="003C14DA">
        <w:rPr>
          <w:rFonts w:ascii="Times New Roman" w:hAnsi="Times New Roman" w:cs="Times New Roman"/>
          <w:szCs w:val="20"/>
        </w:rPr>
        <w:t xml:space="preserve">particulièrement des </w:t>
      </w:r>
      <w:r w:rsidRPr="00831B44">
        <w:rPr>
          <w:rFonts w:ascii="Times New Roman" w:hAnsi="Times New Roman" w:cs="Times New Roman"/>
          <w:szCs w:val="20"/>
        </w:rPr>
        <w:t>privation</w:t>
      </w:r>
      <w:r w:rsidR="003C14DA">
        <w:rPr>
          <w:rFonts w:ascii="Times New Roman" w:hAnsi="Times New Roman" w:cs="Times New Roman"/>
          <w:szCs w:val="20"/>
        </w:rPr>
        <w:t xml:space="preserve">s en matière </w:t>
      </w:r>
      <w:r w:rsidRPr="00831B44">
        <w:rPr>
          <w:rFonts w:ascii="Times New Roman" w:hAnsi="Times New Roman" w:cs="Times New Roman"/>
          <w:szCs w:val="20"/>
        </w:rPr>
        <w:t xml:space="preserve">d’instruction (70.6%), </w:t>
      </w:r>
      <w:r w:rsidR="003C14DA">
        <w:rPr>
          <w:rFonts w:ascii="Times New Roman" w:hAnsi="Times New Roman" w:cs="Times New Roman"/>
          <w:szCs w:val="20"/>
        </w:rPr>
        <w:t xml:space="preserve">de scolarisation (11.7%), d’accès à l’électricité (87%), </w:t>
      </w:r>
      <w:r w:rsidRPr="00831B44">
        <w:rPr>
          <w:rFonts w:ascii="Times New Roman" w:hAnsi="Times New Roman" w:cs="Times New Roman"/>
          <w:szCs w:val="20"/>
        </w:rPr>
        <w:t>à l’assainissement (83,7%) et à l’eau potable (48,5%).</w:t>
      </w:r>
    </w:p>
    <w:p w14:paraId="044B1B8C" w14:textId="77777777" w:rsidR="006801F4" w:rsidRPr="00831B44" w:rsidRDefault="006801F4" w:rsidP="006801F4">
      <w:pPr>
        <w:jc w:val="both"/>
        <w:rPr>
          <w:rFonts w:ascii="Times New Roman" w:hAnsi="Times New Roman" w:cs="Times New Roman"/>
          <w:szCs w:val="20"/>
        </w:rPr>
      </w:pPr>
      <w:r>
        <w:rPr>
          <w:rFonts w:ascii="Times New Roman" w:hAnsi="Times New Roman" w:cs="Times New Roman"/>
          <w:szCs w:val="20"/>
        </w:rPr>
        <w:t xml:space="preserve">La pauvreté affecte également différemment les femmes des hommes. L’indice de développement humain, selon le dernier rapport de développement humain de 2020, est de </w:t>
      </w:r>
      <w:r w:rsidRPr="00954733">
        <w:rPr>
          <w:rFonts w:ascii="Times New Roman" w:hAnsi="Times New Roman" w:cs="Times New Roman"/>
          <w:szCs w:val="20"/>
        </w:rPr>
        <w:t>0,321  pour les femmes, et 0,443 pour les hommes. De même, le revenu National Brut par Habitant est de 536 USD pour une femmes, et 1 859 USD pour un Homme. Ce qui a pour conséquence d’accentuer les inégalités. Ains, le Niger a un taux d’inégalité de genre relativement élevé (0,642), le classant 154e sur 162 pays évalués.</w:t>
      </w:r>
      <w:r>
        <w:rPr>
          <w:rFonts w:ascii="InterstateCondensed-Light" w:eastAsia="InterstateCondensed-Light" w:cs="InterstateCondensed-Light"/>
          <w:sz w:val="13"/>
          <w:szCs w:val="13"/>
        </w:rPr>
        <w:t xml:space="preserve"> </w:t>
      </w:r>
    </w:p>
    <w:p w14:paraId="6DB64392" w14:textId="77777777" w:rsidR="006801F4" w:rsidRPr="00831B44" w:rsidRDefault="006801F4" w:rsidP="0028280C">
      <w:pPr>
        <w:jc w:val="both"/>
        <w:rPr>
          <w:rFonts w:ascii="Times New Roman" w:hAnsi="Times New Roman" w:cs="Times New Roman"/>
          <w:szCs w:val="20"/>
        </w:rPr>
      </w:pPr>
    </w:p>
    <w:p w14:paraId="4BD537A8" w14:textId="40627739" w:rsidR="0028280C" w:rsidRPr="00831B44" w:rsidRDefault="0028280C" w:rsidP="0028280C">
      <w:pPr>
        <w:jc w:val="both"/>
        <w:rPr>
          <w:rFonts w:ascii="Times New Roman" w:hAnsi="Times New Roman" w:cs="Times New Roman"/>
          <w:szCs w:val="23"/>
        </w:rPr>
      </w:pPr>
      <w:r w:rsidRPr="00831B44">
        <w:rPr>
          <w:rFonts w:ascii="Times New Roman" w:hAnsi="Times New Roman" w:cs="Times New Roman"/>
          <w:szCs w:val="20"/>
        </w:rPr>
        <w:t xml:space="preserve">Cette situation de pauvreté pourrait avoir des implications en matière de comportements reproductifs. Le risque de mortalité des enfants de moins d'un an est plus élevé chez les femmes </w:t>
      </w:r>
      <w:r w:rsidR="003C14DA">
        <w:rPr>
          <w:rFonts w:ascii="Times New Roman" w:hAnsi="Times New Roman" w:cs="Times New Roman"/>
          <w:szCs w:val="20"/>
        </w:rPr>
        <w:t xml:space="preserve">appartenant </w:t>
      </w:r>
      <w:r w:rsidR="00B5225B">
        <w:rPr>
          <w:rFonts w:ascii="Times New Roman" w:hAnsi="Times New Roman" w:cs="Times New Roman"/>
          <w:szCs w:val="20"/>
        </w:rPr>
        <w:t xml:space="preserve">à </w:t>
      </w:r>
      <w:r w:rsidRPr="00831B44">
        <w:rPr>
          <w:rFonts w:ascii="Times New Roman" w:hAnsi="Times New Roman" w:cs="Times New Roman"/>
          <w:szCs w:val="20"/>
        </w:rPr>
        <w:t xml:space="preserve">des </w:t>
      </w:r>
      <w:r w:rsidRPr="00831B44">
        <w:rPr>
          <w:rFonts w:ascii="Times New Roman" w:hAnsi="Times New Roman" w:cs="Times New Roman"/>
          <w:szCs w:val="20"/>
        </w:rPr>
        <w:lastRenderedPageBreak/>
        <w:t>ménages les plus pauvres comparées à celles des ménages les plus riches (64 contre 52‰ ; EDS 2012). Il en est de même pour le niveau de fécondité (8,2 contre 6,1 enfants en moyenne), de pratique de la contraception (8,7 contre 23,7%), de la satisfaction de leurs besoins en matière de planification familiale (31,1% contre 56,7%).</w:t>
      </w:r>
    </w:p>
    <w:p w14:paraId="4DC50DC9" w14:textId="77777777" w:rsidR="0028280C" w:rsidRPr="00E25B1F" w:rsidRDefault="0028280C" w:rsidP="00E25B1F">
      <w:pPr>
        <w:pStyle w:val="Titre3"/>
        <w:rPr>
          <w:rFonts w:ascii="Bernard MT Condensed" w:hAnsi="Bernard MT Condensed"/>
        </w:rPr>
      </w:pPr>
      <w:bookmarkStart w:id="129" w:name="_Toc86345243"/>
      <w:bookmarkStart w:id="130" w:name="_Toc86687723"/>
      <w:bookmarkStart w:id="131" w:name="_Toc89479405"/>
      <w:bookmarkStart w:id="132" w:name="_Toc89480903"/>
      <w:bookmarkStart w:id="133" w:name="_Toc94480145"/>
      <w:bookmarkStart w:id="134" w:name="_Toc94481806"/>
      <w:bookmarkStart w:id="135" w:name="_Toc94482069"/>
      <w:r w:rsidRPr="00E25B1F">
        <w:rPr>
          <w:rFonts w:ascii="Bernard MT Condensed" w:hAnsi="Bernard MT Condensed"/>
        </w:rPr>
        <w:t>I.4.2 - Santé et Nutrition</w:t>
      </w:r>
      <w:bookmarkEnd w:id="129"/>
      <w:bookmarkEnd w:id="130"/>
      <w:bookmarkEnd w:id="131"/>
      <w:bookmarkEnd w:id="132"/>
      <w:bookmarkEnd w:id="133"/>
      <w:bookmarkEnd w:id="134"/>
      <w:bookmarkEnd w:id="135"/>
    </w:p>
    <w:p w14:paraId="1BAEA520" w14:textId="38F64065" w:rsidR="0028280C" w:rsidRPr="00060C73" w:rsidRDefault="0028280C" w:rsidP="0028280C">
      <w:pPr>
        <w:widowControl w:val="0"/>
        <w:pBdr>
          <w:top w:val="nil"/>
          <w:left w:val="nil"/>
          <w:bottom w:val="nil"/>
          <w:right w:val="nil"/>
          <w:between w:val="nil"/>
        </w:pBdr>
        <w:spacing w:line="240" w:lineRule="auto"/>
        <w:jc w:val="both"/>
        <w:rPr>
          <w:rFonts w:ascii="Times New Roman" w:eastAsia="Times New Roman" w:hAnsi="Times New Roman" w:cs="Times New Roman"/>
          <w:szCs w:val="20"/>
        </w:rPr>
      </w:pPr>
      <w:r w:rsidRPr="00060C73">
        <w:rPr>
          <w:rFonts w:ascii="Times New Roman" w:eastAsia="Times New Roman" w:hAnsi="Times New Roman" w:cs="Times New Roman"/>
          <w:color w:val="000000" w:themeColor="text1"/>
          <w:szCs w:val="20"/>
        </w:rPr>
        <w:t xml:space="preserve">Le Niger a enregistré </w:t>
      </w:r>
      <w:r w:rsidR="00B5225B">
        <w:rPr>
          <w:rFonts w:ascii="Times New Roman" w:eastAsia="Times New Roman" w:hAnsi="Times New Roman" w:cs="Times New Roman"/>
          <w:color w:val="000000" w:themeColor="text1"/>
          <w:szCs w:val="20"/>
        </w:rPr>
        <w:t xml:space="preserve">des </w:t>
      </w:r>
      <w:r w:rsidRPr="00060C73">
        <w:rPr>
          <w:rFonts w:ascii="Times New Roman" w:eastAsia="Times New Roman" w:hAnsi="Times New Roman" w:cs="Times New Roman"/>
          <w:color w:val="000000" w:themeColor="text1"/>
          <w:szCs w:val="20"/>
        </w:rPr>
        <w:t>progrès notables dans le domaine de la santé</w:t>
      </w:r>
      <w:r w:rsidRPr="00060C73">
        <w:rPr>
          <w:rStyle w:val="Appelnotedebasdep"/>
          <w:rFonts w:ascii="Times New Roman" w:eastAsia="Times New Roman" w:hAnsi="Times New Roman" w:cs="Times New Roman"/>
          <w:color w:val="000000" w:themeColor="text1"/>
        </w:rPr>
        <w:footnoteReference w:id="26"/>
      </w:r>
      <w:r w:rsidRPr="00060C73">
        <w:rPr>
          <w:rFonts w:ascii="Times New Roman" w:eastAsia="Times New Roman" w:hAnsi="Times New Roman" w:cs="Times New Roman"/>
          <w:color w:val="000000" w:themeColor="text1"/>
          <w:szCs w:val="20"/>
        </w:rPr>
        <w:t xml:space="preserve">. Selon le Rapport Mondial sur le Développement Humain (RMDH) de 2020, le nombre moyen d’années vécues par les Nigériens (ou espérance de vie à la naissance) est passé de moins de 40 ans dans les années 1960 et 1970, à 44 ans en 1990, puis à 62,4 ans en 2019. Cette hausse de l’espérance de vie à la naissance est principalement liée à la baisse rapide de la mortalité des enfants de moins de 5 ans, quasiment divisée par trois depuis les années 1990 pour atteindre 126‰ en 2015 (ENISED, 2015). </w:t>
      </w:r>
      <w:r w:rsidR="00EA4DC3">
        <w:rPr>
          <w:rFonts w:ascii="Times New Roman" w:eastAsia="Times New Roman" w:hAnsi="Times New Roman" w:cs="Times New Roman"/>
          <w:color w:val="000000" w:themeColor="text1"/>
          <w:szCs w:val="20"/>
        </w:rPr>
        <w:t>Au regard des résultats provisoires de l’ENAFEME 2021, cette baisse semble se poursuivre car le quotient de m</w:t>
      </w:r>
      <w:r w:rsidR="00EA4DC3" w:rsidRPr="00F9445D">
        <w:rPr>
          <w:rFonts w:ascii="Times New Roman" w:eastAsia="Times New Roman" w:hAnsi="Times New Roman" w:cs="Times New Roman"/>
          <w:color w:val="000000" w:themeColor="text1"/>
          <w:szCs w:val="20"/>
        </w:rPr>
        <w:t>ortalité des enfants de moins de 5 ans s’établit à 123‰ en 2021 du fait exclusivement de la baisse de la mortalité juvénile qui est passée de 81‰ à 55‰. La mortalité des enfants de moins d’un an a connu cependant une légère hausse passant de 51‰ en 2012 à 73‰ en 2021.</w:t>
      </w:r>
      <w:r w:rsidR="00EA4DC3">
        <w:rPr>
          <w:rFonts w:ascii="Times New Roman" w:eastAsia="Times New Roman" w:hAnsi="Times New Roman" w:cs="Times New Roman"/>
          <w:color w:val="000000" w:themeColor="text1"/>
          <w:szCs w:val="20"/>
        </w:rPr>
        <w:t xml:space="preserve"> </w:t>
      </w:r>
      <w:r w:rsidRPr="00060C73">
        <w:rPr>
          <w:rFonts w:ascii="Times New Roman" w:eastAsia="Times New Roman" w:hAnsi="Times New Roman" w:cs="Times New Roman"/>
          <w:color w:val="000000" w:themeColor="text1"/>
          <w:szCs w:val="20"/>
        </w:rPr>
        <w:t>La mise en place en 2006 de la gratuité des soins pour les femmes enceintes et les enfants de moins de 5 ans y a contribué</w:t>
      </w:r>
      <w:r w:rsidRPr="00060C73">
        <w:rPr>
          <w:rFonts w:eastAsia="Times New Roman" w:cs="Times New Roman"/>
          <w:color w:val="000000" w:themeColor="text1"/>
          <w:szCs w:val="20"/>
        </w:rPr>
        <w:t xml:space="preserve"> </w:t>
      </w:r>
      <w:r w:rsidRPr="00060C73">
        <w:rPr>
          <w:rFonts w:ascii="Times New Roman" w:eastAsia="Times New Roman" w:hAnsi="Times New Roman" w:cs="Times New Roman"/>
          <w:szCs w:val="20"/>
        </w:rPr>
        <w:t>à travers le suivi des femmes enceintes, la prise en charge des ac</w:t>
      </w:r>
      <w:r w:rsidR="00854191">
        <w:rPr>
          <w:rFonts w:ascii="Times New Roman" w:eastAsia="Times New Roman" w:hAnsi="Times New Roman" w:cs="Times New Roman"/>
          <w:szCs w:val="20"/>
        </w:rPr>
        <w:t xml:space="preserve">couchements, </w:t>
      </w:r>
      <w:r w:rsidRPr="00060C73">
        <w:rPr>
          <w:rFonts w:ascii="Times New Roman" w:eastAsia="Times New Roman" w:hAnsi="Times New Roman" w:cs="Times New Roman"/>
          <w:szCs w:val="20"/>
        </w:rPr>
        <w:t>du paludisme grave et des infections respiratoires</w:t>
      </w:r>
      <w:r w:rsidR="00854191">
        <w:rPr>
          <w:rFonts w:ascii="Times New Roman" w:eastAsia="Times New Roman" w:hAnsi="Times New Roman" w:cs="Times New Roman"/>
          <w:szCs w:val="20"/>
        </w:rPr>
        <w:t>,</w:t>
      </w:r>
      <w:r w:rsidRPr="00060C73">
        <w:rPr>
          <w:rFonts w:ascii="Times New Roman" w:eastAsia="Times New Roman" w:hAnsi="Times New Roman" w:cs="Times New Roman"/>
          <w:szCs w:val="20"/>
        </w:rPr>
        <w:t xml:space="preserve"> et le suivi vaccinal et nutritionnel des jeunes enfants. La situation révèle cependant des disparités régionales avec Agadez, Diffa, Zinder et Niamey qui sont en-dessous de la moyenne nationale. Cette mortalité est plus faible à Agadez (61,6‰) et plus élevée dans la région Tillabéri (150,5‰</w:t>
      </w:r>
      <w:r>
        <w:rPr>
          <w:rFonts w:ascii="Times New Roman" w:eastAsia="Times New Roman" w:hAnsi="Times New Roman" w:cs="Times New Roman"/>
          <w:szCs w:val="20"/>
        </w:rPr>
        <w:t>, ENISED, 2015).</w:t>
      </w:r>
    </w:p>
    <w:p w14:paraId="16016C95" w14:textId="62DBB89C" w:rsidR="0028280C" w:rsidRPr="00060C73" w:rsidRDefault="00854191" w:rsidP="0028280C">
      <w:pPr>
        <w:widowControl w:val="0"/>
        <w:pBdr>
          <w:top w:val="nil"/>
          <w:left w:val="nil"/>
          <w:bottom w:val="nil"/>
          <w:right w:val="nil"/>
          <w:between w:val="nil"/>
        </w:pBdr>
        <w:spacing w:line="240" w:lineRule="auto"/>
        <w:jc w:val="both"/>
        <w:rPr>
          <w:rFonts w:ascii="Times New Roman" w:eastAsia="Times New Roman" w:hAnsi="Times New Roman" w:cs="Times New Roman"/>
          <w:szCs w:val="20"/>
        </w:rPr>
      </w:pPr>
      <w:r>
        <w:rPr>
          <w:rFonts w:ascii="Times New Roman" w:eastAsia="Times New Roman" w:hAnsi="Times New Roman" w:cs="Times New Roman"/>
          <w:szCs w:val="20"/>
        </w:rPr>
        <w:t>L</w:t>
      </w:r>
      <w:r w:rsidR="0028280C" w:rsidRPr="00060C73">
        <w:rPr>
          <w:rFonts w:ascii="Times New Roman" w:eastAsia="Times New Roman" w:hAnsi="Times New Roman" w:cs="Times New Roman"/>
          <w:szCs w:val="20"/>
        </w:rPr>
        <w:t>e niveau relativement élevé de la mortalité des enfants est lié à la malnutrition aigüe (notamment en milieu rural) et au faible taux de couverture vaccinale. Malgré les progrès observés ces dernières années, le Niger est encore loin d'atteindre l’objectif de couverture vaccinale de 95%. Depuis 10 ans, la faible couverture vaccinale pour le pentavalent 3, la rougeole et d'autres antigènes fluctue entre 70 et 81% (WUENIC</w:t>
      </w:r>
      <w:r w:rsidR="0028280C" w:rsidRPr="00060C73">
        <w:rPr>
          <w:rStyle w:val="Appelnotedebasdep"/>
          <w:rFonts w:ascii="Times New Roman" w:eastAsia="Times New Roman" w:hAnsi="Times New Roman" w:cs="Times New Roman"/>
        </w:rPr>
        <w:footnoteReference w:id="27"/>
      </w:r>
      <w:r w:rsidR="0028280C" w:rsidRPr="00060C73">
        <w:rPr>
          <w:rFonts w:ascii="Times New Roman" w:eastAsia="Times New Roman" w:hAnsi="Times New Roman" w:cs="Times New Roman"/>
          <w:szCs w:val="20"/>
        </w:rPr>
        <w:t>, 2019), entraînant des épidémies de méningite et de rougeole. En 2018, 46% des décès des moins de 5 ans étaient attribuables à des maladies évitables par la vaccination (pneumonie, diarrhée, méningite, rougeole, tétanos néonatal).</w:t>
      </w:r>
    </w:p>
    <w:p w14:paraId="4D5AB61F" w14:textId="3E4D802B" w:rsidR="00F5173D" w:rsidRDefault="0028280C" w:rsidP="0028280C">
      <w:pPr>
        <w:jc w:val="both"/>
        <w:rPr>
          <w:rFonts w:ascii="Times New Roman" w:eastAsia="Times New Roman" w:hAnsi="Times New Roman" w:cs="Times New Roman"/>
          <w:szCs w:val="20"/>
        </w:rPr>
      </w:pPr>
      <w:r w:rsidRPr="006B1977">
        <w:rPr>
          <w:rFonts w:ascii="Times New Roman" w:hAnsi="Times New Roman" w:cs="Times New Roman"/>
        </w:rPr>
        <w:t xml:space="preserve">Cette persistance des taux élevés de mortalité des enfants, est aussi imputable à la faible accessibilité et à la qualité des services de santé, particulièrement en milieu rural. </w:t>
      </w:r>
      <w:r w:rsidRPr="006B1977">
        <w:rPr>
          <w:rFonts w:ascii="Times New Roman" w:eastAsia="Times New Roman" w:hAnsi="Times New Roman" w:cs="Times New Roman"/>
          <w:lang w:eastAsia="fr-FR"/>
        </w:rPr>
        <w:t xml:space="preserve">Près de la moitié de la population (48%) habitent dans des zones où il n’existe aucune </w:t>
      </w:r>
      <w:r w:rsidRPr="006B1977">
        <w:rPr>
          <w:rFonts w:ascii="Times New Roman" w:hAnsi="Times New Roman" w:cs="Times New Roman"/>
        </w:rPr>
        <w:t>formation sanitaire dans un rayon de 5 km. L’inaccessibilité aux services de santé est cependant en train d’être réduit</w:t>
      </w:r>
      <w:r w:rsidR="00854191">
        <w:rPr>
          <w:rFonts w:ascii="Times New Roman" w:hAnsi="Times New Roman" w:cs="Times New Roman"/>
        </w:rPr>
        <w:t>e</w:t>
      </w:r>
      <w:r w:rsidRPr="006B1977">
        <w:rPr>
          <w:rFonts w:ascii="Times New Roman" w:hAnsi="Times New Roman" w:cs="Times New Roman"/>
        </w:rPr>
        <w:t xml:space="preserve"> à travers une multitude d’actions réalisées, dont les activités mobiles et foraines et de prise en charge intégrée des maladies de l'enfance (PCIME) au niveau communautaire. En effet, le taux de couverture sanitaire a augmenté sur la période 2015-2020. Il a progressé de 5,3 points de pourcentage, pour s’établir à 52,7% au niveau national. Au niveau régional, seules Agadez (68,4%) et Niamey (98%) affichent une couverture</w:t>
      </w:r>
      <w:r w:rsidRPr="006B1977">
        <w:rPr>
          <w:rFonts w:ascii="Times New Roman" w:eastAsia="Times New Roman" w:hAnsi="Times New Roman" w:cs="Times New Roman"/>
          <w:szCs w:val="20"/>
        </w:rPr>
        <w:t xml:space="preserve"> supérieure à la moyenne nationale.</w:t>
      </w:r>
    </w:p>
    <w:p w14:paraId="4FE02247" w14:textId="77777777" w:rsidR="00C11F40" w:rsidRPr="004F1C8A" w:rsidRDefault="00C11F40" w:rsidP="00C11F40">
      <w:pPr>
        <w:jc w:val="both"/>
        <w:rPr>
          <w:rFonts w:ascii="Times New Roman" w:eastAsia="Times New Roman" w:hAnsi="Times New Roman" w:cs="Times New Roman"/>
          <w:szCs w:val="20"/>
        </w:rPr>
      </w:pPr>
      <w:r w:rsidRPr="004F1C8A">
        <w:rPr>
          <w:rFonts w:ascii="Times New Roman" w:eastAsia="Times New Roman" w:hAnsi="Times New Roman" w:cs="Times New Roman"/>
          <w:szCs w:val="20"/>
        </w:rPr>
        <w:t xml:space="preserve">La mortalité maternelle reste élevée malgré la diminution observée de 648 décès pour 100 000 naissances vivantes en 2006 à 520 décès pour 100 000 naissances vivantes en 2015. Ce progrès s’explique par un personnel d’accompagnement à l’accouchement mieux formé (29 % en 2012 contre 36,8 % en 2017) et un meilleur accès aux soins obstétricaux et néonatals d’urgence (29 % en 2012 contre 51,7 % en 2017). Le niveau élevé de décès maternel est en lien avec les inégalités entre les sexes issues de traditions socioculturelles qui contribuent au manque d’autonomie des femmes. La prévalence des fistules obstétricales parmi les femmes en âge de procréer est de 0,2 %. </w:t>
      </w:r>
    </w:p>
    <w:p w14:paraId="4FAF4D32" w14:textId="0839E38A" w:rsidR="0028280C" w:rsidRPr="006B1977" w:rsidRDefault="00C11F40" w:rsidP="0028280C">
      <w:pPr>
        <w:jc w:val="both"/>
        <w:rPr>
          <w:rFonts w:ascii="Times New Roman" w:eastAsia="Times New Roman" w:hAnsi="Times New Roman" w:cs="Times New Roman"/>
          <w:szCs w:val="20"/>
        </w:rPr>
      </w:pPr>
      <w:r w:rsidRPr="004F1C8A">
        <w:rPr>
          <w:rFonts w:ascii="Times New Roman" w:eastAsia="Times New Roman" w:hAnsi="Times New Roman" w:cs="Times New Roman"/>
          <w:szCs w:val="20"/>
        </w:rPr>
        <w:t xml:space="preserve">Le taux de fécondité (6,2 enfants par femme en 2021) est le plus élevé au monde alors que le taux de prévalence de la contraception stagne, autour de 10 % et que seulement 30,6% des femmes expriment une demande de planification familiale. Les besoins non satisfaits s’établissent à 19,7%. Cette forte </w:t>
      </w:r>
      <w:r w:rsidRPr="004F1C8A">
        <w:rPr>
          <w:rFonts w:ascii="Times New Roman" w:eastAsia="Times New Roman" w:hAnsi="Times New Roman" w:cs="Times New Roman"/>
          <w:szCs w:val="20"/>
        </w:rPr>
        <w:lastRenderedPageBreak/>
        <w:t>fécondité est particulièrement liée aux problématiques d’éducation des filles, aux mariages d’enfants et à la faible demande et utilisation des produits de santé imputable à des facteurs socioculturels, tels que les interprétations faites des textes religieux, le statut inférieur des femmes et les conceptions erronées sur l’utilisation des moyens de contraception.</w:t>
      </w:r>
    </w:p>
    <w:p w14:paraId="1331526E" w14:textId="782B822D" w:rsidR="0028280C" w:rsidRPr="006B1977" w:rsidRDefault="0028280C" w:rsidP="0028280C">
      <w:pPr>
        <w:widowControl w:val="0"/>
        <w:pBdr>
          <w:top w:val="nil"/>
          <w:left w:val="nil"/>
          <w:bottom w:val="nil"/>
          <w:right w:val="nil"/>
          <w:between w:val="nil"/>
        </w:pBdr>
        <w:spacing w:line="240" w:lineRule="auto"/>
        <w:jc w:val="both"/>
        <w:rPr>
          <w:rFonts w:ascii="Times New Roman" w:eastAsia="Times New Roman" w:hAnsi="Times New Roman" w:cs="Times New Roman"/>
          <w:lang w:eastAsia="fr-FR"/>
        </w:rPr>
      </w:pPr>
      <w:r w:rsidRPr="006B1977">
        <w:rPr>
          <w:rFonts w:ascii="Times New Roman" w:eastAsia="Times New Roman" w:hAnsi="Times New Roman" w:cs="Times New Roman"/>
          <w:szCs w:val="20"/>
        </w:rPr>
        <w:t>De même, le pourcentage de la population située à plus de 5 km d’une formation sanitaire, couverte par les activités mobiles et foraines, est passé de 57,3% en 2017 à 48,9% en 2020. Quant au taux d’utilisation des soins curatifs, il a connu une baisse, en passant de 52,6% en 2015 à 49,4% en 2020 (RNV, 2021). Les principales causes de cette baisse sont les retards de remboursement des factures de</w:t>
      </w:r>
      <w:r w:rsidR="00854191">
        <w:rPr>
          <w:rFonts w:ascii="Times New Roman" w:eastAsia="Times New Roman" w:hAnsi="Times New Roman" w:cs="Times New Roman"/>
          <w:szCs w:val="20"/>
        </w:rPr>
        <w:t>s</w:t>
      </w:r>
      <w:r w:rsidRPr="006B1977">
        <w:rPr>
          <w:rFonts w:ascii="Times New Roman" w:eastAsia="Times New Roman" w:hAnsi="Times New Roman" w:cs="Times New Roman"/>
          <w:szCs w:val="20"/>
        </w:rPr>
        <w:t xml:space="preserve"> formation</w:t>
      </w:r>
      <w:r w:rsidR="00854191">
        <w:rPr>
          <w:rFonts w:ascii="Times New Roman" w:eastAsia="Times New Roman" w:hAnsi="Times New Roman" w:cs="Times New Roman"/>
          <w:szCs w:val="20"/>
        </w:rPr>
        <w:t>s</w:t>
      </w:r>
      <w:r w:rsidRPr="006B1977">
        <w:rPr>
          <w:rFonts w:ascii="Times New Roman" w:eastAsia="Times New Roman" w:hAnsi="Times New Roman" w:cs="Times New Roman"/>
          <w:szCs w:val="20"/>
        </w:rPr>
        <w:t xml:space="preserve"> sanitaires au titre de la gratuité des soins, le problème de complétude des données et la fermeture de certaines formations sanitaires pour des raisons d’insécurité notamment dans les régions de Diffa, Tillabéri et Tahoua.</w:t>
      </w:r>
    </w:p>
    <w:p w14:paraId="5568D932" w14:textId="00BAC63D" w:rsidR="00854191" w:rsidRPr="004F1C8A" w:rsidRDefault="0028280C" w:rsidP="0028280C">
      <w:pPr>
        <w:widowControl w:val="0"/>
        <w:pBdr>
          <w:top w:val="nil"/>
          <w:left w:val="nil"/>
          <w:bottom w:val="nil"/>
          <w:right w:val="nil"/>
          <w:between w:val="nil"/>
        </w:pBdr>
        <w:spacing w:line="240" w:lineRule="auto"/>
        <w:jc w:val="both"/>
        <w:rPr>
          <w:rFonts w:ascii="Times New Roman" w:hAnsi="Times New Roman" w:cs="Times New Roman"/>
        </w:rPr>
      </w:pPr>
      <w:r w:rsidRPr="006B1977">
        <w:rPr>
          <w:rFonts w:ascii="Times New Roman" w:hAnsi="Times New Roman" w:cs="Times New Roman"/>
        </w:rPr>
        <w:t>La situation sanitaire reste aussi marquée par la prédominance des maladies transmissibles endémiques et endémo-épidémiques (VIH/SIDA, Tuberculose, Paludisme, Choléra, Méningites etc.), la menace de la pandémie de la COVID-19 survenue depuis le mois de mars 2020 dans le pays et l’émergence des maladies non transmissibles (Hypertension artérielle, Noma, Cancer, Diabète etc.).</w:t>
      </w:r>
      <w:r w:rsidR="00854191">
        <w:rPr>
          <w:rFonts w:ascii="Times New Roman" w:hAnsi="Times New Roman" w:cs="Times New Roman"/>
        </w:rPr>
        <w:t xml:space="preserve"> </w:t>
      </w:r>
      <w:r w:rsidRPr="006B1977">
        <w:rPr>
          <w:rFonts w:ascii="Times New Roman" w:hAnsi="Times New Roman" w:cs="Times New Roman"/>
        </w:rPr>
        <w:t>Par ailleurs, l’extrême vulnérabilité du pays entraîne la survenue quasi-régulière des situations d’urgences (crise alimentaire et nutritionnelle, catastrophes naturelles (inondations) ou provoquées) auxquelles le pays n’est pas toujours suffisamment préparé.</w:t>
      </w:r>
    </w:p>
    <w:p w14:paraId="7453BF94" w14:textId="77777777" w:rsidR="0028280C" w:rsidRPr="00BC14EA" w:rsidRDefault="0028280C" w:rsidP="0028280C">
      <w:pPr>
        <w:widowControl w:val="0"/>
        <w:pBdr>
          <w:top w:val="nil"/>
          <w:left w:val="nil"/>
          <w:bottom w:val="nil"/>
          <w:right w:val="nil"/>
          <w:between w:val="nil"/>
        </w:pBdr>
        <w:spacing w:line="240" w:lineRule="auto"/>
        <w:jc w:val="both"/>
        <w:rPr>
          <w:rFonts w:ascii="Times New Roman" w:hAnsi="Times New Roman" w:cs="Times New Roman"/>
          <w:color w:val="000000" w:themeColor="text1"/>
        </w:rPr>
      </w:pPr>
      <w:r w:rsidRPr="006B1977">
        <w:rPr>
          <w:rFonts w:ascii="Times New Roman" w:eastAsia="Times New Roman" w:hAnsi="Times New Roman" w:cs="Times New Roman"/>
          <w:szCs w:val="20"/>
        </w:rPr>
        <w:t xml:space="preserve">En matière de </w:t>
      </w:r>
      <w:r w:rsidRPr="006B1977">
        <w:rPr>
          <w:rFonts w:ascii="Times New Roman" w:eastAsia="Times New Roman" w:hAnsi="Times New Roman" w:cs="Times New Roman"/>
          <w:color w:val="000000" w:themeColor="text1"/>
          <w:szCs w:val="20"/>
        </w:rPr>
        <w:t xml:space="preserve">lutte contre les maladies (paludisme, VIH, tuberculose, méningite, rougeole et COVID -19), le Niger a consenti d’énormes efforts.  S’agissant de lutte contre le VIH/Sida, </w:t>
      </w:r>
      <w:r w:rsidRPr="006B1977">
        <w:rPr>
          <w:rFonts w:ascii="Times New Roman" w:hAnsi="Times New Roman" w:cs="Times New Roman"/>
          <w:color w:val="000000" w:themeColor="text1"/>
        </w:rPr>
        <w:t>le pays fait mieux face à cette pandémie avec une incidence qui a baissé entre 2015 et 2020, passant de 0,07% en 2015 à 0,01% en 2020 (RNV, 2021). L</w:t>
      </w:r>
      <w:r w:rsidRPr="006B1977">
        <w:rPr>
          <w:rFonts w:ascii="Times New Roman" w:eastAsia="Times New Roman" w:hAnsi="Times New Roman" w:cs="Times New Roman"/>
          <w:color w:val="000000" w:themeColor="text1"/>
          <w:szCs w:val="20"/>
        </w:rPr>
        <w:t xml:space="preserve">’Etat s’est doté de 757 sites, dont 85 sites prescripteurs pour la prise en charge des personnes infectées et 672 sites de Prévention de Transmission Mère-Enfant (PTME) en 2020. Les proportions d’adultes sous ARV ont progressé ; en passant de 53,3% à 64,9% entre 2017 et 2020. Par contre, la proportion d’enfants infectés par le VIH/SIDA sous ARV a connu des fluctuations entre 2017 (39,34%) et 2020 (46,66%). Au total, le nombre de personnes vivant avec le VIH (PVVIH) sous ARV est de 20.427 dont 7256 (35,52%) hommes et 13.171 (64,48%) femmes (Annuaire statistique 2019). </w:t>
      </w:r>
      <w:r w:rsidRPr="006B1977">
        <w:rPr>
          <w:rFonts w:ascii="Times New Roman" w:hAnsi="Times New Roman" w:cs="Times New Roman"/>
          <w:color w:val="000000" w:themeColor="text1"/>
        </w:rPr>
        <w:t>Cependant, le défi reste la couverture de la prévention de transmission du VIH de la mère à l’enfant qui est passé de 51% en 2015 à 36% en 2020 et le taux de transmission de la mère à l’enfant a augmenté de 25.7% à 27.3% durant la même période (GAM 2020</w:t>
      </w:r>
      <w:r w:rsidRPr="006B1977">
        <w:rPr>
          <w:rStyle w:val="Appelnotedebasdep"/>
          <w:rFonts w:ascii="Times New Roman" w:hAnsi="Times New Roman" w:cs="Times New Roman"/>
          <w:color w:val="000000" w:themeColor="text1"/>
        </w:rPr>
        <w:footnoteReference w:id="28"/>
      </w:r>
      <w:r>
        <w:rPr>
          <w:rFonts w:ascii="Times New Roman" w:hAnsi="Times New Roman" w:cs="Times New Roman"/>
          <w:color w:val="000000" w:themeColor="text1"/>
        </w:rPr>
        <w:t>).</w:t>
      </w:r>
    </w:p>
    <w:p w14:paraId="4BE98C79" w14:textId="49F8B333" w:rsidR="0028280C" w:rsidRPr="001E7106" w:rsidRDefault="00854191" w:rsidP="0028280C">
      <w:pPr>
        <w:jc w:val="both"/>
        <w:rPr>
          <w:rFonts w:ascii="Times New Roman" w:eastAsia="Times New Roman" w:hAnsi="Times New Roman" w:cs="Times New Roman"/>
          <w:color w:val="000000" w:themeColor="text1"/>
          <w:szCs w:val="20"/>
        </w:rPr>
      </w:pPr>
      <w:r>
        <w:rPr>
          <w:rFonts w:ascii="Times New Roman" w:eastAsia="Times New Roman" w:hAnsi="Times New Roman" w:cs="Times New Roman"/>
          <w:color w:val="000000" w:themeColor="text1"/>
          <w:szCs w:val="20"/>
        </w:rPr>
        <w:t>Par contre, les maladies à haut risque</w:t>
      </w:r>
      <w:r w:rsidR="0028280C" w:rsidRPr="001E7106">
        <w:rPr>
          <w:rFonts w:ascii="Times New Roman" w:eastAsia="Times New Roman" w:hAnsi="Times New Roman" w:cs="Times New Roman"/>
          <w:color w:val="000000" w:themeColor="text1"/>
          <w:szCs w:val="20"/>
        </w:rPr>
        <w:t xml:space="preserve"> dont la tuberculose et le paludisme ont tendance à augmenter dans le pays. L’incidence de la tuberculose pour 1000 habitants et celle du Paludisme, ont augmenté en passant respectivement de 0,61 en 2015 à 0,9 en 2018 et de 160,48 en 2015 à 198,02 en 2020 ; tandis que le taux de couverture vaccinale en PENTA3 a globalement connu un accroissement depuis 2018 passant de 80% en 2016 à 83% en 2020 (Estimations OMS/UNICEF). </w:t>
      </w:r>
      <w:r w:rsidR="0028280C" w:rsidRPr="006B1977">
        <w:rPr>
          <w:rFonts w:ascii="Times New Roman" w:eastAsia="Times New Roman" w:hAnsi="Times New Roman" w:cs="Times New Roman"/>
          <w:color w:val="000000" w:themeColor="text1"/>
          <w:szCs w:val="20"/>
        </w:rPr>
        <w:t xml:space="preserve">En ce qui concerne la lutte contre la tuberculose, l’Etat a créé et équipé en matériels techniques, 230 centres de dépistage et 525 centres de soins.  Ainsi, le taux de succès thérapeutique de la tuberculose a été rehaussé, en passant de 81% en 2016 à 82,9% en 2019.  La lutte contre </w:t>
      </w:r>
      <w:r w:rsidR="0028280C" w:rsidRPr="001E7106">
        <w:rPr>
          <w:rFonts w:ascii="Times New Roman" w:eastAsia="Times New Roman" w:hAnsi="Times New Roman" w:cs="Times New Roman"/>
          <w:color w:val="000000" w:themeColor="text1"/>
          <w:szCs w:val="20"/>
        </w:rPr>
        <w:t>le paludisme se fait à travers le renforcement de la distribution de moustiquaires imprégnées de longue durée d’action</w:t>
      </w:r>
      <w:r w:rsidR="0028280C" w:rsidRPr="001E7106">
        <w:rPr>
          <w:rFonts w:ascii="Times New Roman" w:eastAsia="Times New Roman" w:hAnsi="Times New Roman" w:cs="Times New Roman"/>
          <w:color w:val="000000" w:themeColor="text1"/>
          <w:szCs w:val="20"/>
        </w:rPr>
        <w:footnoteReference w:id="29"/>
      </w:r>
      <w:r w:rsidR="0028280C" w:rsidRPr="001E7106">
        <w:rPr>
          <w:rFonts w:ascii="Times New Roman" w:eastAsia="Times New Roman" w:hAnsi="Times New Roman" w:cs="Times New Roman"/>
          <w:color w:val="000000" w:themeColor="text1"/>
          <w:szCs w:val="20"/>
        </w:rPr>
        <w:t xml:space="preserve">  et de l’offre des quatre doses d’AQ-SP aux enfants de 3 à 59 mois</w:t>
      </w:r>
      <w:r w:rsidR="0028280C">
        <w:rPr>
          <w:rStyle w:val="Appelnotedebasdep"/>
          <w:rFonts w:ascii="Times New Roman" w:eastAsia="Times New Roman" w:hAnsi="Times New Roman" w:cs="Times New Roman"/>
          <w:color w:val="000000" w:themeColor="text1"/>
        </w:rPr>
        <w:footnoteReference w:id="30"/>
      </w:r>
      <w:r w:rsidR="0028280C" w:rsidRPr="001E7106">
        <w:rPr>
          <w:rFonts w:ascii="Times New Roman" w:eastAsia="Times New Roman" w:hAnsi="Times New Roman" w:cs="Times New Roman"/>
          <w:color w:val="000000" w:themeColor="text1"/>
          <w:szCs w:val="20"/>
        </w:rPr>
        <w:t xml:space="preserve"> Sur la période 2017-2020, l’incidence du paludisme est restée préoccupante, en passant de 15 961 en 2017 à 19 802 cas pour 100.000 habitants en 2020. </w:t>
      </w:r>
    </w:p>
    <w:p w14:paraId="59BED399" w14:textId="77777777" w:rsidR="0028280C" w:rsidRPr="003740B4" w:rsidRDefault="0028280C" w:rsidP="0028280C">
      <w:pPr>
        <w:spacing w:line="276" w:lineRule="auto"/>
        <w:jc w:val="both"/>
        <w:rPr>
          <w:rFonts w:ascii="Times New Roman" w:eastAsia="Times New Roman" w:hAnsi="Times New Roman" w:cs="Times New Roman"/>
          <w:color w:val="000000" w:themeColor="text1"/>
          <w:szCs w:val="20"/>
        </w:rPr>
      </w:pPr>
      <w:r w:rsidRPr="003740B4">
        <w:rPr>
          <w:rFonts w:ascii="Times New Roman" w:eastAsia="Times New Roman" w:hAnsi="Times New Roman" w:cs="Times New Roman"/>
          <w:color w:val="000000" w:themeColor="text1"/>
          <w:szCs w:val="20"/>
        </w:rPr>
        <w:t xml:space="preserve">Pour la méningite, les épidémies liées à cette maladie ont fait 7 860 cas dont 487 décès soit une létalité 6,20% au cours des quatre dernières années. Ainsi, on observe une nette régression de l’incidence de 2017 à 2020 grâce entre autres à l’introduction en octobre 2017 du vaccin MenA dont la couverture ne cesse de s’améliorer avec 14% en 2017 ; 72% en 2018 ; 96% en 2019 et 94% en 2020. Grâce à ces </w:t>
      </w:r>
      <w:r w:rsidRPr="003740B4">
        <w:rPr>
          <w:rFonts w:ascii="Times New Roman" w:eastAsia="Times New Roman" w:hAnsi="Times New Roman" w:cs="Times New Roman"/>
          <w:color w:val="000000" w:themeColor="text1"/>
          <w:szCs w:val="20"/>
        </w:rPr>
        <w:lastRenderedPageBreak/>
        <w:t>efforts, l’incidence de la méningite a connu une accalmie sur la période, en s’établissant à 589 cas en 2020. Quant aux incidences du choléra et de la rougeole, elles ont connu des fluctuations sur la période, pour se situer respectivement à 2085 cas (97 décès) au 31 août 2021 et 2 798 cas (13 décès) en 2020.</w:t>
      </w:r>
    </w:p>
    <w:p w14:paraId="08C88607" w14:textId="64A34231" w:rsidR="0028280C" w:rsidRPr="001E7106" w:rsidRDefault="0028280C" w:rsidP="0028280C">
      <w:pPr>
        <w:spacing w:before="240" w:line="276" w:lineRule="auto"/>
        <w:jc w:val="both"/>
        <w:rPr>
          <w:rFonts w:ascii="Times New Roman" w:eastAsia="Times New Roman" w:hAnsi="Times New Roman" w:cs="Times New Roman"/>
          <w:color w:val="000000" w:themeColor="text1"/>
          <w:szCs w:val="20"/>
        </w:rPr>
      </w:pPr>
      <w:r w:rsidRPr="001E7106">
        <w:rPr>
          <w:rFonts w:ascii="Times New Roman" w:eastAsia="Times New Roman" w:hAnsi="Times New Roman" w:cs="Times New Roman"/>
          <w:color w:val="000000" w:themeColor="text1"/>
          <w:szCs w:val="20"/>
        </w:rPr>
        <w:t>Par ailleurs la situation épidémiologique de l’année 2020 a été marquée principalement par la pandémie de la COVID-19. Toutes les régions ont enregistré des cas. Ainsi, à la date du 31 décembre 2020, sur un cumul global de 62 421 personnes testées, 3 327 cas ont été co</w:t>
      </w:r>
      <w:r w:rsidR="00D85ED1">
        <w:rPr>
          <w:rFonts w:ascii="Times New Roman" w:eastAsia="Times New Roman" w:hAnsi="Times New Roman" w:cs="Times New Roman"/>
          <w:color w:val="000000" w:themeColor="text1"/>
          <w:szCs w:val="20"/>
        </w:rPr>
        <w:t>nfirmés positifs avec 104 décès.</w:t>
      </w:r>
      <w:r w:rsidRPr="001E7106">
        <w:rPr>
          <w:rFonts w:ascii="Times New Roman" w:eastAsia="Times New Roman" w:hAnsi="Times New Roman" w:cs="Times New Roman"/>
          <w:color w:val="000000" w:themeColor="text1"/>
          <w:szCs w:val="20"/>
        </w:rPr>
        <w:t xml:space="preserve"> </w:t>
      </w:r>
      <w:r w:rsidR="00D85ED1" w:rsidRPr="001E7106">
        <w:rPr>
          <w:rFonts w:ascii="Times New Roman" w:eastAsia="Times New Roman" w:hAnsi="Times New Roman" w:cs="Times New Roman"/>
          <w:color w:val="000000" w:themeColor="text1"/>
          <w:szCs w:val="20"/>
        </w:rPr>
        <w:t>Cette</w:t>
      </w:r>
      <w:r w:rsidRPr="001E7106">
        <w:rPr>
          <w:rFonts w:ascii="Times New Roman" w:eastAsia="Times New Roman" w:hAnsi="Times New Roman" w:cs="Times New Roman"/>
          <w:color w:val="000000" w:themeColor="text1"/>
          <w:szCs w:val="20"/>
        </w:rPr>
        <w:t xml:space="preserve"> situation est à la date du 25 octobre 2021 de 169.153 personnes testées, 6260 déclarées positives parmi </w:t>
      </w:r>
      <w:r w:rsidR="00D85ED1" w:rsidRPr="001E7106">
        <w:rPr>
          <w:rFonts w:ascii="Times New Roman" w:eastAsia="Times New Roman" w:hAnsi="Times New Roman" w:cs="Times New Roman"/>
          <w:color w:val="000000" w:themeColor="text1"/>
          <w:szCs w:val="20"/>
        </w:rPr>
        <w:t>lesquel</w:t>
      </w:r>
      <w:r w:rsidR="00D85ED1">
        <w:rPr>
          <w:rFonts w:ascii="Times New Roman" w:eastAsia="Times New Roman" w:hAnsi="Times New Roman" w:cs="Times New Roman"/>
          <w:color w:val="000000" w:themeColor="text1"/>
          <w:szCs w:val="20"/>
        </w:rPr>
        <w:t>les</w:t>
      </w:r>
      <w:r w:rsidRPr="001E7106">
        <w:rPr>
          <w:rFonts w:ascii="Times New Roman" w:eastAsia="Times New Roman" w:hAnsi="Times New Roman" w:cs="Times New Roman"/>
          <w:color w:val="000000" w:themeColor="text1"/>
          <w:szCs w:val="20"/>
        </w:rPr>
        <w:t xml:space="preserve"> 208 décès. Il convient également de souligner l’émergence des maladies non transmissibles (Cancer, Diabète, HTA, Drépanocytose,) et les maladies tropicales négligées (Bilharziose, Trachome, Filariose, etc.).</w:t>
      </w:r>
    </w:p>
    <w:p w14:paraId="0FCA6E2C" w14:textId="44F61FE0" w:rsidR="0028280C" w:rsidRPr="00D65296" w:rsidRDefault="00D85ED1" w:rsidP="0028280C">
      <w:pPr>
        <w:widowControl w:val="0"/>
        <w:pBdr>
          <w:top w:val="nil"/>
          <w:left w:val="nil"/>
          <w:bottom w:val="nil"/>
          <w:right w:val="nil"/>
          <w:between w:val="nil"/>
        </w:pBdr>
        <w:spacing w:line="240" w:lineRule="auto"/>
        <w:jc w:val="both"/>
        <w:rPr>
          <w:rFonts w:ascii="Times New Roman" w:hAnsi="Times New Roman" w:cs="Times New Roman"/>
          <w:color w:val="000000" w:themeColor="text1"/>
        </w:rPr>
      </w:pPr>
      <w:r>
        <w:rPr>
          <w:rFonts w:ascii="Times New Roman" w:hAnsi="Times New Roman" w:cs="Times New Roman"/>
          <w:color w:val="000000" w:themeColor="text1"/>
        </w:rPr>
        <w:t>L</w:t>
      </w:r>
      <w:r w:rsidR="0028280C" w:rsidRPr="00D65296">
        <w:rPr>
          <w:rFonts w:ascii="Times New Roman" w:hAnsi="Times New Roman" w:cs="Times New Roman"/>
          <w:color w:val="000000" w:themeColor="text1"/>
        </w:rPr>
        <w:t>a pandémie de la COVID 19</w:t>
      </w:r>
      <w:r>
        <w:rPr>
          <w:rFonts w:ascii="Times New Roman" w:hAnsi="Times New Roman" w:cs="Times New Roman"/>
          <w:color w:val="000000" w:themeColor="text1"/>
        </w:rPr>
        <w:t xml:space="preserve"> a révélé l</w:t>
      </w:r>
      <w:r w:rsidR="0028280C" w:rsidRPr="00D65296">
        <w:rPr>
          <w:rFonts w:ascii="Times New Roman" w:hAnsi="Times New Roman" w:cs="Times New Roman"/>
          <w:color w:val="000000" w:themeColor="text1"/>
        </w:rPr>
        <w:t>es faiblesses</w:t>
      </w:r>
      <w:r>
        <w:rPr>
          <w:rFonts w:ascii="Times New Roman" w:hAnsi="Times New Roman" w:cs="Times New Roman"/>
          <w:color w:val="000000" w:themeColor="text1"/>
        </w:rPr>
        <w:t xml:space="preserve"> d</w:t>
      </w:r>
      <w:r w:rsidR="00506601">
        <w:rPr>
          <w:rFonts w:ascii="Times New Roman" w:hAnsi="Times New Roman" w:cs="Times New Roman"/>
          <w:color w:val="000000" w:themeColor="text1"/>
        </w:rPr>
        <w:t>u</w:t>
      </w:r>
      <w:r>
        <w:rPr>
          <w:rFonts w:ascii="Times New Roman" w:hAnsi="Times New Roman" w:cs="Times New Roman"/>
          <w:color w:val="000000" w:themeColor="text1"/>
        </w:rPr>
        <w:t xml:space="preserve"> secteur de la santé</w:t>
      </w:r>
      <w:r w:rsidR="0028280C" w:rsidRPr="00D65296">
        <w:rPr>
          <w:rFonts w:ascii="Times New Roman" w:hAnsi="Times New Roman" w:cs="Times New Roman"/>
          <w:color w:val="000000" w:themeColor="text1"/>
        </w:rPr>
        <w:t xml:space="preserve"> </w:t>
      </w:r>
      <w:r w:rsidR="00BF7F71">
        <w:rPr>
          <w:rFonts w:ascii="Times New Roman" w:hAnsi="Times New Roman" w:cs="Times New Roman"/>
          <w:color w:val="000000" w:themeColor="text1"/>
        </w:rPr>
        <w:t xml:space="preserve">et a eu des </w:t>
      </w:r>
      <w:r w:rsidR="0028280C" w:rsidRPr="00D65296">
        <w:rPr>
          <w:rFonts w:ascii="Times New Roman" w:hAnsi="Times New Roman" w:cs="Times New Roman"/>
          <w:color w:val="000000" w:themeColor="text1"/>
        </w:rPr>
        <w:t>conséquences négatives sur les activités curatives et préventives des formations sanitai</w:t>
      </w:r>
      <w:r w:rsidR="00BF7F71">
        <w:rPr>
          <w:rFonts w:ascii="Times New Roman" w:hAnsi="Times New Roman" w:cs="Times New Roman"/>
          <w:color w:val="000000" w:themeColor="text1"/>
        </w:rPr>
        <w:t>res. Les mesures barrières et les</w:t>
      </w:r>
      <w:r w:rsidR="0028280C" w:rsidRPr="00D65296">
        <w:rPr>
          <w:rFonts w:ascii="Times New Roman" w:hAnsi="Times New Roman" w:cs="Times New Roman"/>
          <w:color w:val="000000" w:themeColor="text1"/>
        </w:rPr>
        <w:t xml:space="preserve"> restriction</w:t>
      </w:r>
      <w:r w:rsidR="00BF7F71">
        <w:rPr>
          <w:rFonts w:ascii="Times New Roman" w:hAnsi="Times New Roman" w:cs="Times New Roman"/>
          <w:color w:val="000000" w:themeColor="text1"/>
        </w:rPr>
        <w:t>s</w:t>
      </w:r>
      <w:r w:rsidR="0028280C" w:rsidRPr="00D65296">
        <w:rPr>
          <w:rFonts w:ascii="Times New Roman" w:hAnsi="Times New Roman" w:cs="Times New Roman"/>
          <w:color w:val="000000" w:themeColor="text1"/>
        </w:rPr>
        <w:t xml:space="preserve"> en matière de déplacement et de rassemblement qu’elle a impliqué</w:t>
      </w:r>
      <w:r w:rsidR="00BF7F71">
        <w:rPr>
          <w:rFonts w:ascii="Times New Roman" w:hAnsi="Times New Roman" w:cs="Times New Roman"/>
          <w:color w:val="000000" w:themeColor="text1"/>
        </w:rPr>
        <w:t>es</w:t>
      </w:r>
      <w:r w:rsidR="0028280C" w:rsidRPr="00D65296">
        <w:rPr>
          <w:rFonts w:ascii="Times New Roman" w:hAnsi="Times New Roman" w:cs="Times New Roman"/>
          <w:color w:val="000000" w:themeColor="text1"/>
        </w:rPr>
        <w:t xml:space="preserve"> ont fortement bouleversé la mise en œuvre des activités de santé. Les chaînes d’approvisionnement ont été perturbées, ce qui a affecté la disponibilité des intrants et l’accès aux services de santé. A titre illustratif, sur une période de six mois, une étude au niveau de 17 centres de santé intégré de Niamey a comparé le niveau des indicateurs d’utilisation du premier semestre de 2020 à celui de l´année 2019. Il en </w:t>
      </w:r>
      <w:r w:rsidR="00BF7F71">
        <w:rPr>
          <w:rFonts w:ascii="Times New Roman" w:hAnsi="Times New Roman" w:cs="Times New Roman"/>
          <w:color w:val="000000" w:themeColor="text1"/>
        </w:rPr>
        <w:t xml:space="preserve">est </w:t>
      </w:r>
      <w:r w:rsidR="0028280C" w:rsidRPr="00D65296">
        <w:rPr>
          <w:rFonts w:ascii="Times New Roman" w:hAnsi="Times New Roman" w:cs="Times New Roman"/>
          <w:color w:val="000000" w:themeColor="text1"/>
        </w:rPr>
        <w:t>ressort</w:t>
      </w:r>
      <w:r w:rsidR="00BF7F71">
        <w:rPr>
          <w:rFonts w:ascii="Times New Roman" w:hAnsi="Times New Roman" w:cs="Times New Roman"/>
          <w:color w:val="000000" w:themeColor="text1"/>
        </w:rPr>
        <w:t>i</w:t>
      </w:r>
      <w:r w:rsidR="0028280C" w:rsidRPr="00D65296">
        <w:rPr>
          <w:rFonts w:ascii="Times New Roman" w:hAnsi="Times New Roman" w:cs="Times New Roman"/>
          <w:color w:val="000000" w:themeColor="text1"/>
        </w:rPr>
        <w:t xml:space="preserve"> une réduction de 34% des soins curatifs. Un gain quasi nul de 1% fut noté pour la fréquentation à la consultation prénatale annulant ainsi les acquis du premier trimestre. La pandémie de la COVID-19 impacte négativement sur les prestations de service destinées aux groupes les plus à risques de la population à savoir les femmes, les jeunes et les adolescents(es).</w:t>
      </w:r>
    </w:p>
    <w:p w14:paraId="63F1473A" w14:textId="1129B3BA" w:rsidR="0028280C" w:rsidRPr="00F5173D" w:rsidRDefault="0028280C" w:rsidP="00F5173D">
      <w:pPr>
        <w:pStyle w:val="NormalWeb"/>
        <w:jc w:val="both"/>
        <w:rPr>
          <w:sz w:val="22"/>
          <w:szCs w:val="22"/>
        </w:rPr>
      </w:pPr>
      <w:r w:rsidRPr="00D65296">
        <w:rPr>
          <w:color w:val="000000" w:themeColor="text1"/>
        </w:rPr>
        <w:t>Le respect des normes en matière de ressources humaines reste encore problématique. La densité du personnel de santé pour 1000 habitants est passée de 0,17 en 2017 à 0,40 en 2020</w:t>
      </w:r>
      <w:r w:rsidR="00F5173D">
        <w:rPr>
          <w:color w:val="000000" w:themeColor="text1"/>
        </w:rPr>
        <w:t xml:space="preserve"> alors que la communauté internationale préconise une densité de 4,45 personne de santé (médecins+ infirmiers+ sages-femmes) pour 1000 habitants pour </w:t>
      </w:r>
      <w:r w:rsidR="00F5173D" w:rsidRPr="00D65296">
        <w:rPr>
          <w:color w:val="000000" w:themeColor="text1"/>
        </w:rPr>
        <w:t>attei</w:t>
      </w:r>
      <w:r w:rsidR="00F5173D">
        <w:rPr>
          <w:color w:val="000000" w:themeColor="text1"/>
        </w:rPr>
        <w:t xml:space="preserve">ndre les  ODD. </w:t>
      </w:r>
      <w:r w:rsidR="00F5173D">
        <w:rPr>
          <w:sz w:val="22"/>
          <w:szCs w:val="22"/>
        </w:rPr>
        <w:t>En matière de</w:t>
      </w:r>
      <w:r w:rsidR="00F5173D" w:rsidRPr="00084009">
        <w:rPr>
          <w:sz w:val="22"/>
          <w:szCs w:val="22"/>
        </w:rPr>
        <w:t xml:space="preserve"> capacités de préparation, de prévention et de gestion des situations d’urgence sanitaire </w:t>
      </w:r>
      <w:r w:rsidR="00F5173D">
        <w:rPr>
          <w:sz w:val="22"/>
          <w:szCs w:val="22"/>
        </w:rPr>
        <w:t>l’évaluation a montré un i</w:t>
      </w:r>
      <w:r w:rsidR="00F5173D" w:rsidRPr="00084009">
        <w:rPr>
          <w:sz w:val="22"/>
          <w:szCs w:val="22"/>
        </w:rPr>
        <w:t>ndice de protection face aux situations d’urgence de 55%</w:t>
      </w:r>
      <w:r w:rsidR="00F5173D">
        <w:rPr>
          <w:sz w:val="22"/>
          <w:szCs w:val="22"/>
        </w:rPr>
        <w:t>, celui</w:t>
      </w:r>
      <w:r w:rsidR="00F5173D" w:rsidRPr="00084009">
        <w:rPr>
          <w:sz w:val="22"/>
          <w:szCs w:val="22"/>
        </w:rPr>
        <w:t xml:space="preserve"> de préparation aux situations d’urgences</w:t>
      </w:r>
      <w:r w:rsidR="00F5173D">
        <w:rPr>
          <w:sz w:val="22"/>
          <w:szCs w:val="22"/>
        </w:rPr>
        <w:t xml:space="preserve"> de</w:t>
      </w:r>
      <w:r w:rsidR="00F5173D" w:rsidRPr="00084009">
        <w:rPr>
          <w:sz w:val="22"/>
          <w:szCs w:val="22"/>
        </w:rPr>
        <w:t xml:space="preserve"> 2.15 en 2020</w:t>
      </w:r>
      <w:r w:rsidR="00F5173D">
        <w:rPr>
          <w:sz w:val="22"/>
          <w:szCs w:val="22"/>
        </w:rPr>
        <w:t xml:space="preserve"> et un i</w:t>
      </w:r>
      <w:r w:rsidR="00F5173D" w:rsidRPr="00084009">
        <w:rPr>
          <w:sz w:val="22"/>
          <w:szCs w:val="22"/>
        </w:rPr>
        <w:t xml:space="preserve">ndice de détection et d’intervention d’évènements RSI détectés et répondus dans les délais </w:t>
      </w:r>
      <w:r w:rsidR="00F5173D">
        <w:rPr>
          <w:sz w:val="22"/>
          <w:szCs w:val="22"/>
        </w:rPr>
        <w:t>de</w:t>
      </w:r>
      <w:r w:rsidR="00F5173D" w:rsidRPr="00084009">
        <w:rPr>
          <w:sz w:val="22"/>
          <w:szCs w:val="22"/>
        </w:rPr>
        <w:t xml:space="preserve"> 86% en 2021</w:t>
      </w:r>
      <w:r w:rsidR="00F5173D">
        <w:rPr>
          <w:sz w:val="22"/>
          <w:szCs w:val="22"/>
        </w:rPr>
        <w:t>.</w:t>
      </w:r>
    </w:p>
    <w:p w14:paraId="3BCCEA1B" w14:textId="64A47E87" w:rsidR="0028280C" w:rsidRPr="00D65296" w:rsidRDefault="0028280C" w:rsidP="0028280C">
      <w:pPr>
        <w:widowControl w:val="0"/>
        <w:pBdr>
          <w:top w:val="nil"/>
          <w:left w:val="nil"/>
          <w:bottom w:val="nil"/>
          <w:right w:val="nil"/>
          <w:between w:val="nil"/>
        </w:pBdr>
        <w:spacing w:line="240" w:lineRule="auto"/>
        <w:jc w:val="both"/>
        <w:rPr>
          <w:rFonts w:ascii="Times New Roman" w:hAnsi="Times New Roman" w:cs="Times New Roman"/>
          <w:color w:val="000000" w:themeColor="text1"/>
        </w:rPr>
      </w:pPr>
      <w:r w:rsidRPr="00D65296">
        <w:rPr>
          <w:rFonts w:ascii="Times New Roman" w:hAnsi="Times New Roman" w:cs="Times New Roman"/>
          <w:color w:val="000000" w:themeColor="text1"/>
        </w:rPr>
        <w:t>La disponibilité des intrants et produits de santé n’est pas non plus satisfaisante en raison de nombreuses ruptures de molécules observées à tous les niveaux : pour un niveau attendu de 0,8 ;  le taux de rupture est passé de 2,22 % en 2017 à 14,36 % en 2020 au niveau des cases de santé (CS), de 2,58 %  en 2017 à  9,62 % en 2020 au niveau des centres de santé intégrés (CSI), de 0,34% en 2017 à 2,73% en 2020 au niveau des hôpitaux de district, de 0,47 % en 2017 à 0,22 % en 2020 au niveau du Centre hospitalier régional (CHR) et 0,47% en 2017 à 0,82% en 2020 au niveau des centres de santé mère/enfant (CSME). Sur le plan national, ce taux est passé de 2,58% en 2017 à 9,03% en 2020 (REP 2020). Cette contreperformance est liée à des ruptures de stock au niveau national de certains molécules et vaccins pendant des périodes plus ou moins prolongées (anti tuberculeux, SRO, diazépam, etc.). La situation est plus ou moins complexe avec le manque de fonds de certaines structures pour des raisons diverses (fermeture des comptes du recouvrement des coûts, non remb</w:t>
      </w:r>
      <w:r w:rsidR="00BF7F71">
        <w:rPr>
          <w:rFonts w:ascii="Times New Roman" w:hAnsi="Times New Roman" w:cs="Times New Roman"/>
          <w:color w:val="000000" w:themeColor="text1"/>
        </w:rPr>
        <w:t>oursement</w:t>
      </w:r>
      <w:r w:rsidRPr="00D65296">
        <w:rPr>
          <w:rFonts w:ascii="Times New Roman" w:hAnsi="Times New Roman" w:cs="Times New Roman"/>
          <w:color w:val="000000" w:themeColor="text1"/>
        </w:rPr>
        <w:t xml:space="preserve"> des frais de la gratuité).</w:t>
      </w:r>
    </w:p>
    <w:p w14:paraId="3F3DD285" w14:textId="3DA06FB5" w:rsidR="0028280C" w:rsidRPr="00D65296" w:rsidRDefault="0028280C" w:rsidP="0028280C">
      <w:pPr>
        <w:widowControl w:val="0"/>
        <w:pBdr>
          <w:top w:val="nil"/>
          <w:left w:val="nil"/>
          <w:bottom w:val="nil"/>
          <w:right w:val="nil"/>
          <w:between w:val="nil"/>
        </w:pBdr>
        <w:spacing w:line="240" w:lineRule="auto"/>
        <w:jc w:val="both"/>
        <w:rPr>
          <w:rFonts w:ascii="Times New Roman" w:hAnsi="Times New Roman" w:cs="Times New Roman"/>
          <w:color w:val="000000" w:themeColor="text1"/>
        </w:rPr>
      </w:pPr>
      <w:r w:rsidRPr="00D65296">
        <w:rPr>
          <w:rFonts w:ascii="Times New Roman" w:hAnsi="Times New Roman" w:cs="Times New Roman"/>
          <w:color w:val="000000" w:themeColor="text1"/>
        </w:rPr>
        <w:t xml:space="preserve">Ces résultats sont sans nul doute liés au financement du système de santé. Sur la période 2015-2020, le budget alloué au ministère de la santé a légèrement baissé et est passé de 6,58% à 6,29%. De ces résultats, on peut relever un faible niveau de financement public du secteur de la santé au Niger. En effet, les crédits alloués par l’Etat sont insuffisants face aux besoins de plus en plus croissants en matière de santé. Sur la période 2015-2020, la part du budget de l’Etat allouée à la santé </w:t>
      </w:r>
      <w:r w:rsidR="00DB45C6">
        <w:rPr>
          <w:rFonts w:ascii="Times New Roman" w:hAnsi="Times New Roman" w:cs="Times New Roman"/>
          <w:color w:val="000000" w:themeColor="text1"/>
        </w:rPr>
        <w:t>est</w:t>
      </w:r>
      <w:r w:rsidRPr="00D65296">
        <w:rPr>
          <w:rFonts w:ascii="Times New Roman" w:hAnsi="Times New Roman" w:cs="Times New Roman"/>
          <w:color w:val="000000" w:themeColor="text1"/>
        </w:rPr>
        <w:t xml:space="preserve"> très éloignée des 15% correspondant à l’engagement des Chefs d’Etat africains à Abuja en 2001.</w:t>
      </w:r>
    </w:p>
    <w:p w14:paraId="3333502C" w14:textId="4A69C1DA" w:rsidR="00733610" w:rsidRDefault="0028280C" w:rsidP="0028280C">
      <w:pPr>
        <w:widowControl w:val="0"/>
        <w:pBdr>
          <w:top w:val="nil"/>
          <w:left w:val="nil"/>
          <w:bottom w:val="nil"/>
          <w:right w:val="nil"/>
          <w:between w:val="nil"/>
        </w:pBdr>
        <w:spacing w:line="240" w:lineRule="auto"/>
        <w:jc w:val="both"/>
        <w:rPr>
          <w:rFonts w:ascii="Times New Roman" w:hAnsi="Times New Roman" w:cs="Times New Roman"/>
          <w:color w:val="000000" w:themeColor="text1"/>
        </w:rPr>
      </w:pPr>
      <w:r w:rsidRPr="00D65296">
        <w:rPr>
          <w:rFonts w:ascii="Times New Roman" w:hAnsi="Times New Roman" w:cs="Times New Roman"/>
          <w:color w:val="000000" w:themeColor="text1"/>
        </w:rPr>
        <w:t xml:space="preserve">Par ailleurs, la contribution directe des ménages en matière de dépenses de santé représente la deuxième source du financement de la santé. Cette contribution est très fluctuante puisqu’elle est passée de </w:t>
      </w:r>
      <w:r w:rsidRPr="00D65296">
        <w:rPr>
          <w:rFonts w:ascii="Times New Roman" w:hAnsi="Times New Roman" w:cs="Times New Roman"/>
          <w:color w:val="000000" w:themeColor="text1"/>
        </w:rPr>
        <w:lastRenderedPageBreak/>
        <w:t>48,79% (184,726 milliards) en 2018, puis à 46,09% (197,670 milliards) en 2019 avant de  à 42% en 2020. Toutefois, il convient de souligner que la part de la contribution des ménages reste toujours élevée d</w:t>
      </w:r>
      <w:r w:rsidR="00DB45C6">
        <w:rPr>
          <w:rFonts w:ascii="Times New Roman" w:hAnsi="Times New Roman" w:cs="Times New Roman"/>
          <w:color w:val="000000" w:themeColor="text1"/>
        </w:rPr>
        <w:t>ans le financement de la santé.</w:t>
      </w:r>
    </w:p>
    <w:p w14:paraId="04D3EE2F" w14:textId="4FF9C483" w:rsidR="00733610" w:rsidRDefault="0028280C" w:rsidP="0028280C">
      <w:pPr>
        <w:widowControl w:val="0"/>
        <w:pBdr>
          <w:top w:val="nil"/>
          <w:left w:val="nil"/>
          <w:bottom w:val="nil"/>
          <w:right w:val="nil"/>
          <w:between w:val="nil"/>
        </w:pBdr>
        <w:spacing w:line="240" w:lineRule="auto"/>
        <w:jc w:val="both"/>
        <w:rPr>
          <w:rFonts w:ascii="Times New Roman" w:hAnsi="Times New Roman" w:cs="Times New Roman"/>
          <w:color w:val="000000" w:themeColor="text1"/>
        </w:rPr>
      </w:pPr>
      <w:r w:rsidRPr="00D65296">
        <w:rPr>
          <w:rFonts w:ascii="Times New Roman" w:hAnsi="Times New Roman" w:cs="Times New Roman"/>
          <w:color w:val="000000" w:themeColor="text1"/>
        </w:rPr>
        <w:t xml:space="preserve">Dans le domaine de la nutrition, les résultats enregistrés restent encore timides. </w:t>
      </w:r>
      <w:r w:rsidR="00733610" w:rsidRPr="00DB45C6">
        <w:rPr>
          <w:rFonts w:ascii="Times New Roman" w:eastAsia="Times New Roman" w:hAnsi="Times New Roman" w:cs="Times New Roman"/>
          <w:bCs/>
          <w:lang w:val="fr"/>
        </w:rPr>
        <w:t xml:space="preserve">L’indicateur-clé </w:t>
      </w:r>
      <w:r w:rsidR="00733610" w:rsidRPr="00DB45C6">
        <w:rPr>
          <w:rFonts w:ascii="Times New Roman" w:eastAsia="Times New Roman" w:hAnsi="Times New Roman" w:cs="Times New Roman"/>
          <w:lang w:val="fr"/>
        </w:rPr>
        <w:t xml:space="preserve">pour l’effet de la malnutrition sur le développement du pays est la </w:t>
      </w:r>
      <w:r w:rsidR="00733610" w:rsidRPr="00DB45C6">
        <w:rPr>
          <w:rFonts w:ascii="Times New Roman" w:eastAsia="Times New Roman" w:hAnsi="Times New Roman" w:cs="Times New Roman"/>
          <w:bCs/>
          <w:lang w:val="fr"/>
        </w:rPr>
        <w:t>malnutrition chronique</w:t>
      </w:r>
      <w:r w:rsidR="00DB45C6">
        <w:rPr>
          <w:rFonts w:ascii="Times New Roman" w:eastAsia="Times New Roman" w:hAnsi="Times New Roman" w:cs="Times New Roman"/>
          <w:bCs/>
          <w:lang w:val="fr"/>
        </w:rPr>
        <w:t xml:space="preserve">. </w:t>
      </w:r>
      <w:r w:rsidR="00DB45C6">
        <w:rPr>
          <w:rFonts w:ascii="Times New Roman" w:eastAsia="Times New Roman" w:hAnsi="Times New Roman" w:cs="Times New Roman"/>
          <w:lang w:val="fr"/>
        </w:rPr>
        <w:t xml:space="preserve"> En raison de s</w:t>
      </w:r>
      <w:r w:rsidR="00733610" w:rsidRPr="00DB45C6">
        <w:rPr>
          <w:rFonts w:ascii="Times New Roman" w:eastAsia="Times New Roman" w:hAnsi="Times New Roman" w:cs="Times New Roman"/>
          <w:lang w:val="fr"/>
        </w:rPr>
        <w:t xml:space="preserve">a </w:t>
      </w:r>
      <w:r w:rsidR="00DB45C6">
        <w:rPr>
          <w:rFonts w:ascii="Times New Roman" w:eastAsia="Times New Roman" w:hAnsi="Times New Roman" w:cs="Times New Roman"/>
          <w:bCs/>
          <w:lang w:val="fr"/>
        </w:rPr>
        <w:t xml:space="preserve">gravité, celle-ci a </w:t>
      </w:r>
      <w:r w:rsidR="00733610" w:rsidRPr="00DB45C6">
        <w:rPr>
          <w:rFonts w:ascii="Times New Roman" w:eastAsia="Times New Roman" w:hAnsi="Times New Roman" w:cs="Times New Roman"/>
          <w:lang w:val="fr"/>
        </w:rPr>
        <w:t xml:space="preserve">des </w:t>
      </w:r>
      <w:r w:rsidR="00733610" w:rsidRPr="00DB45C6">
        <w:rPr>
          <w:rFonts w:ascii="Times New Roman" w:eastAsia="Times New Roman" w:hAnsi="Times New Roman" w:cs="Times New Roman"/>
          <w:bCs/>
          <w:lang w:val="fr"/>
        </w:rPr>
        <w:t>conséquences sur le développement du pays</w:t>
      </w:r>
      <w:r w:rsidR="00733610" w:rsidRPr="00DB45C6">
        <w:rPr>
          <w:rFonts w:ascii="Times New Roman" w:eastAsia="Times New Roman" w:hAnsi="Times New Roman" w:cs="Times New Roman"/>
          <w:lang w:val="fr"/>
        </w:rPr>
        <w:t>.</w:t>
      </w:r>
      <w:r w:rsidR="00733610" w:rsidRPr="00733610">
        <w:rPr>
          <w:rFonts w:ascii="Times New Roman" w:eastAsia="Times New Roman" w:hAnsi="Times New Roman" w:cs="Times New Roman"/>
          <w:lang w:val="fr"/>
        </w:rPr>
        <w:t xml:space="preserve"> Les autres indicateurs de malnutrition sont des facteurs contributifs à la prévalence du retard de croissance</w:t>
      </w:r>
      <w:hyperlink r:id="rId41" w:anchor="_ftn1" w:history="1">
        <w:r w:rsidR="00733610" w:rsidRPr="00733610">
          <w:rPr>
            <w:rStyle w:val="Lienhypertexte"/>
            <w:rFonts w:ascii="Times New Roman" w:eastAsia="Times New Roman" w:hAnsi="Times New Roman" w:cs="Times New Roman"/>
            <w:vertAlign w:val="superscript"/>
          </w:rPr>
          <w:t>[1]</w:t>
        </w:r>
      </w:hyperlink>
      <w:r w:rsidR="00733610" w:rsidRPr="00733610">
        <w:rPr>
          <w:rFonts w:ascii="Times New Roman" w:eastAsia="Times New Roman" w:hAnsi="Times New Roman" w:cs="Times New Roman"/>
          <w:lang w:val="fr"/>
        </w:rPr>
        <w:t xml:space="preserve">; s’il y a amélioration de ces indicateurs, la malnutrition chronique peut s’améliorer. </w:t>
      </w:r>
      <w:r w:rsidR="00733610" w:rsidRPr="00733610">
        <w:rPr>
          <w:rFonts w:ascii="Times New Roman" w:eastAsia="Times New Roman" w:hAnsi="Times New Roman" w:cs="Times New Roman"/>
          <w:color w:val="000000" w:themeColor="text1"/>
          <w:lang w:val="fr"/>
        </w:rPr>
        <w:t>La prévalence de la malnutrition chronique est passé</w:t>
      </w:r>
      <w:r w:rsidR="00733610">
        <w:rPr>
          <w:rFonts w:ascii="Times New Roman" w:eastAsia="Times New Roman" w:hAnsi="Times New Roman" w:cs="Times New Roman"/>
          <w:color w:val="000000" w:themeColor="text1"/>
          <w:lang w:val="fr"/>
        </w:rPr>
        <w:t>e</w:t>
      </w:r>
      <w:r w:rsidR="00733610" w:rsidRPr="00733610">
        <w:rPr>
          <w:rFonts w:ascii="Times New Roman" w:eastAsia="Times New Roman" w:hAnsi="Times New Roman" w:cs="Times New Roman"/>
          <w:color w:val="000000" w:themeColor="text1"/>
          <w:lang w:val="fr"/>
        </w:rPr>
        <w:t xml:space="preserve"> de 45,4% en 2017 à 45,1% en 2020, soit une baisse 0,3</w:t>
      </w:r>
      <w:r w:rsidR="00733610">
        <w:rPr>
          <w:rFonts w:ascii="Times New Roman" w:eastAsia="Times New Roman" w:hAnsi="Times New Roman" w:cs="Times New Roman"/>
          <w:color w:val="000000" w:themeColor="text1"/>
          <w:lang w:val="fr"/>
        </w:rPr>
        <w:t>%</w:t>
      </w:r>
      <w:r w:rsidR="00733610">
        <w:rPr>
          <w:rStyle w:val="Appelnotedebasdep"/>
          <w:rFonts w:ascii="Times New Roman" w:eastAsia="Times New Roman" w:hAnsi="Times New Roman" w:cs="Times New Roman"/>
          <w:color w:val="000000" w:themeColor="text1"/>
          <w:lang w:val="fr"/>
        </w:rPr>
        <w:footnoteReference w:id="31"/>
      </w:r>
      <w:r w:rsidR="00733610" w:rsidRPr="00733610">
        <w:rPr>
          <w:rFonts w:ascii="Times New Roman" w:eastAsia="Times New Roman" w:hAnsi="Times New Roman" w:cs="Times New Roman"/>
          <w:color w:val="000000" w:themeColor="text1"/>
          <w:lang w:val="fr"/>
        </w:rPr>
        <w:t>.</w:t>
      </w:r>
    </w:p>
    <w:p w14:paraId="4ABE570B" w14:textId="0AC5E97B" w:rsidR="0028280C" w:rsidRPr="00D65296" w:rsidRDefault="0028280C" w:rsidP="0028280C">
      <w:pPr>
        <w:widowControl w:val="0"/>
        <w:pBdr>
          <w:top w:val="nil"/>
          <w:left w:val="nil"/>
          <w:bottom w:val="nil"/>
          <w:right w:val="nil"/>
          <w:between w:val="nil"/>
        </w:pBdr>
        <w:spacing w:line="240" w:lineRule="auto"/>
        <w:jc w:val="both"/>
        <w:rPr>
          <w:rFonts w:ascii="Times New Roman" w:hAnsi="Times New Roman" w:cs="Times New Roman"/>
          <w:color w:val="000000" w:themeColor="text1"/>
        </w:rPr>
      </w:pPr>
      <w:r w:rsidRPr="00D65296">
        <w:rPr>
          <w:rFonts w:ascii="Times New Roman" w:hAnsi="Times New Roman" w:cs="Times New Roman"/>
          <w:color w:val="000000" w:themeColor="text1"/>
        </w:rPr>
        <w:t xml:space="preserve">La prévalence de la malnutrition aiguë globale (MAG) a peu diminué et n’a pas atteint la cible de départ (9%) pendant </w:t>
      </w:r>
      <w:r w:rsidR="00DB45C6">
        <w:rPr>
          <w:rFonts w:ascii="Times New Roman" w:hAnsi="Times New Roman" w:cs="Times New Roman"/>
          <w:color w:val="000000" w:themeColor="text1"/>
        </w:rPr>
        <w:t>les quatre (4) dernières années.</w:t>
      </w:r>
      <w:r w:rsidRPr="00D65296">
        <w:rPr>
          <w:rFonts w:ascii="Times New Roman" w:hAnsi="Times New Roman" w:cs="Times New Roman"/>
          <w:color w:val="000000" w:themeColor="text1"/>
        </w:rPr>
        <w:t xml:space="preserve"> </w:t>
      </w:r>
      <w:r w:rsidR="00DB45C6">
        <w:rPr>
          <w:rFonts w:ascii="Times New Roman" w:hAnsi="Times New Roman" w:cs="Times New Roman"/>
          <w:color w:val="000000" w:themeColor="text1"/>
        </w:rPr>
        <w:t>E</w:t>
      </w:r>
      <w:r w:rsidRPr="00D65296">
        <w:rPr>
          <w:rFonts w:ascii="Times New Roman" w:hAnsi="Times New Roman" w:cs="Times New Roman"/>
          <w:color w:val="000000" w:themeColor="text1"/>
        </w:rPr>
        <w:t>lle est passée de 15</w:t>
      </w:r>
      <w:r w:rsidR="00DB45C6">
        <w:rPr>
          <w:rFonts w:ascii="Times New Roman" w:hAnsi="Times New Roman" w:cs="Times New Roman"/>
          <w:color w:val="000000" w:themeColor="text1"/>
        </w:rPr>
        <w:t>,30 % en 2017 à 12,7 % en 2020</w:t>
      </w:r>
      <w:r w:rsidRPr="00D65296">
        <w:rPr>
          <w:rFonts w:ascii="Times New Roman" w:hAnsi="Times New Roman" w:cs="Times New Roman"/>
          <w:color w:val="000000" w:themeColor="text1"/>
        </w:rPr>
        <w:t xml:space="preserve"> soit une réduction de 2,6 points de pourcentage. Le taux de la prévalence de la malnutrition chronique est passé de 45,40% en 2017 à 45,1% en 2020, soit une baisse 0,3 point pourcentage. L’insuffisance pondérale est passée de 34,6% en 2017 à 33,4% en 2020. Le taux de  prévalence de l’anémie chez les femmes en âge de procréer est passé de 53% en 2017 à 58,4%  en 2020.  </w:t>
      </w:r>
      <w:r w:rsidR="00733610" w:rsidRPr="00733610">
        <w:rPr>
          <w:rFonts w:ascii="Times New Roman" w:eastAsia="Times New Roman" w:hAnsi="Times New Roman" w:cs="Times New Roman"/>
          <w:color w:val="000000" w:themeColor="text1"/>
          <w:lang w:val="fr"/>
        </w:rPr>
        <w:t>Des disparités régionales so</w:t>
      </w:r>
      <w:r w:rsidR="00DB45C6">
        <w:rPr>
          <w:rFonts w:ascii="Times New Roman" w:eastAsia="Times New Roman" w:hAnsi="Times New Roman" w:cs="Times New Roman"/>
          <w:color w:val="000000" w:themeColor="text1"/>
          <w:lang w:val="fr"/>
        </w:rPr>
        <w:t>nt notées par rapport aux différents</w:t>
      </w:r>
      <w:r w:rsidR="00733610" w:rsidRPr="00733610">
        <w:rPr>
          <w:rFonts w:ascii="Times New Roman" w:eastAsia="Times New Roman" w:hAnsi="Times New Roman" w:cs="Times New Roman"/>
          <w:color w:val="000000" w:themeColor="text1"/>
          <w:lang w:val="fr"/>
        </w:rPr>
        <w:t xml:space="preserve"> types de malnutrition</w:t>
      </w:r>
      <w:r w:rsidR="00DB45C6">
        <w:rPr>
          <w:rFonts w:ascii="Times New Roman" w:eastAsia="Times New Roman" w:hAnsi="Times New Roman" w:cs="Times New Roman"/>
          <w:color w:val="000000" w:themeColor="text1"/>
          <w:lang w:val="fr"/>
        </w:rPr>
        <w:t>. Ceci suppose des</w:t>
      </w:r>
      <w:r w:rsidR="00733610" w:rsidRPr="00733610">
        <w:rPr>
          <w:rFonts w:ascii="Times New Roman" w:eastAsia="Times New Roman" w:hAnsi="Times New Roman" w:cs="Times New Roman"/>
          <w:color w:val="000000" w:themeColor="text1"/>
          <w:lang w:val="fr"/>
        </w:rPr>
        <w:t xml:space="preserve"> causes sous-jacentes et fondamentales différentes. La situation d’insécurité civile et de déplacement de population dans certaines régions du pays est aussi un facteur </w:t>
      </w:r>
      <w:r w:rsidR="00650383">
        <w:rPr>
          <w:rFonts w:ascii="Times New Roman" w:eastAsia="Times New Roman" w:hAnsi="Times New Roman" w:cs="Times New Roman"/>
          <w:color w:val="000000" w:themeColor="text1"/>
          <w:lang w:val="fr"/>
        </w:rPr>
        <w:t>qui explique l’évolution d</w:t>
      </w:r>
      <w:r w:rsidR="00733610" w:rsidRPr="00733610">
        <w:rPr>
          <w:rFonts w:ascii="Times New Roman" w:eastAsia="Times New Roman" w:hAnsi="Times New Roman" w:cs="Times New Roman"/>
          <w:color w:val="000000" w:themeColor="text1"/>
          <w:lang w:val="fr"/>
        </w:rPr>
        <w:t xml:space="preserve">es indicateurs </w:t>
      </w:r>
      <w:r w:rsidR="00650383">
        <w:rPr>
          <w:rFonts w:ascii="Times New Roman" w:eastAsia="Times New Roman" w:hAnsi="Times New Roman" w:cs="Times New Roman"/>
          <w:color w:val="000000" w:themeColor="text1"/>
          <w:lang w:val="fr"/>
        </w:rPr>
        <w:t>d</w:t>
      </w:r>
      <w:r w:rsidR="00733610" w:rsidRPr="00733610">
        <w:rPr>
          <w:rFonts w:ascii="Times New Roman" w:eastAsia="Times New Roman" w:hAnsi="Times New Roman" w:cs="Times New Roman"/>
          <w:color w:val="000000" w:themeColor="text1"/>
          <w:lang w:val="fr"/>
        </w:rPr>
        <w:t xml:space="preserve">es </w:t>
      </w:r>
      <w:r w:rsidR="00650383">
        <w:rPr>
          <w:rFonts w:ascii="Times New Roman" w:eastAsia="Times New Roman" w:hAnsi="Times New Roman" w:cs="Times New Roman"/>
          <w:color w:val="000000" w:themeColor="text1"/>
          <w:lang w:val="fr"/>
        </w:rPr>
        <w:t>différents types de malnutrition dans l</w:t>
      </w:r>
      <w:r w:rsidR="00733610" w:rsidRPr="00733610">
        <w:rPr>
          <w:rFonts w:ascii="Times New Roman" w:eastAsia="Times New Roman" w:hAnsi="Times New Roman" w:cs="Times New Roman"/>
          <w:color w:val="000000" w:themeColor="text1"/>
          <w:lang w:val="fr"/>
        </w:rPr>
        <w:t>es zones géographiques.</w:t>
      </w:r>
      <w:r w:rsidR="00733610" w:rsidRPr="0F9B0BB3">
        <w:rPr>
          <w:rFonts w:ascii="Times New Roman" w:hAnsi="Times New Roman" w:cs="Times New Roman"/>
          <w:color w:val="000000" w:themeColor="text1"/>
        </w:rPr>
        <w:t xml:space="preserve"> </w:t>
      </w:r>
    </w:p>
    <w:p w14:paraId="379367AD" w14:textId="77777777" w:rsidR="00650383" w:rsidRDefault="00650383" w:rsidP="00733610">
      <w:pPr>
        <w:widowControl w:val="0"/>
        <w:pBdr>
          <w:top w:val="nil"/>
          <w:left w:val="nil"/>
          <w:bottom w:val="nil"/>
          <w:right w:val="nil"/>
          <w:between w:val="nil"/>
        </w:pBdr>
        <w:spacing w:before="120" w:after="120" w:line="240" w:lineRule="auto"/>
        <w:jc w:val="both"/>
        <w:rPr>
          <w:rFonts w:ascii="Times New Roman" w:eastAsia="Times New Roman" w:hAnsi="Times New Roman" w:cs="Times New Roman"/>
          <w:lang w:val="fr-CA"/>
        </w:rPr>
      </w:pPr>
      <w:r>
        <w:rPr>
          <w:rFonts w:ascii="Times New Roman" w:hAnsi="Times New Roman" w:cs="Times New Roman"/>
          <w:color w:val="000000" w:themeColor="text1"/>
        </w:rPr>
        <w:t xml:space="preserve">Les faibles progrès </w:t>
      </w:r>
      <w:r w:rsidR="0028280C" w:rsidRPr="00D65296">
        <w:rPr>
          <w:rFonts w:ascii="Times New Roman" w:hAnsi="Times New Roman" w:cs="Times New Roman"/>
          <w:color w:val="000000" w:themeColor="text1"/>
        </w:rPr>
        <w:t xml:space="preserve"> des indicateurs </w:t>
      </w:r>
      <w:r>
        <w:rPr>
          <w:rFonts w:ascii="Times New Roman" w:hAnsi="Times New Roman" w:cs="Times New Roman"/>
          <w:color w:val="000000" w:themeColor="text1"/>
        </w:rPr>
        <w:t xml:space="preserve">et leur évolution </w:t>
      </w:r>
      <w:r w:rsidR="0028280C" w:rsidRPr="00D65296">
        <w:rPr>
          <w:rFonts w:ascii="Times New Roman" w:hAnsi="Times New Roman" w:cs="Times New Roman"/>
          <w:color w:val="000000" w:themeColor="text1"/>
        </w:rPr>
        <w:t>en dent</w:t>
      </w:r>
      <w:r w:rsidR="00733610">
        <w:rPr>
          <w:rFonts w:ascii="Times New Roman" w:hAnsi="Times New Roman" w:cs="Times New Roman"/>
          <w:color w:val="000000" w:themeColor="text1"/>
        </w:rPr>
        <w:t>s</w:t>
      </w:r>
      <w:r>
        <w:rPr>
          <w:rFonts w:ascii="Times New Roman" w:hAnsi="Times New Roman" w:cs="Times New Roman"/>
          <w:color w:val="000000" w:themeColor="text1"/>
        </w:rPr>
        <w:t xml:space="preserve"> de scie</w:t>
      </w:r>
      <w:r w:rsidR="0028280C" w:rsidRPr="00D65296">
        <w:rPr>
          <w:rFonts w:ascii="Times New Roman" w:hAnsi="Times New Roman" w:cs="Times New Roman"/>
          <w:color w:val="000000" w:themeColor="text1"/>
        </w:rPr>
        <w:t xml:space="preserve"> serai</w:t>
      </w:r>
      <w:r>
        <w:rPr>
          <w:rFonts w:ascii="Times New Roman" w:hAnsi="Times New Roman" w:cs="Times New Roman"/>
          <w:color w:val="000000" w:themeColor="text1"/>
        </w:rPr>
        <w:t>ent liés</w:t>
      </w:r>
      <w:r w:rsidR="0028280C" w:rsidRPr="00D65296">
        <w:rPr>
          <w:rFonts w:ascii="Times New Roman" w:hAnsi="Times New Roman" w:cs="Times New Roman"/>
          <w:color w:val="000000" w:themeColor="text1"/>
        </w:rPr>
        <w:t xml:space="preserve"> au retard dans la mise en œuvre de la politique nationale de nutrition et son sous financement</w:t>
      </w:r>
      <w:r w:rsidR="00733610">
        <w:rPr>
          <w:rFonts w:ascii="Times New Roman" w:hAnsi="Times New Roman" w:cs="Times New Roman"/>
          <w:color w:val="000000" w:themeColor="text1"/>
        </w:rPr>
        <w:t xml:space="preserve"> </w:t>
      </w:r>
      <w:r w:rsidR="00733610" w:rsidRPr="00733610">
        <w:rPr>
          <w:rFonts w:ascii="Times New Roman" w:eastAsia="Times New Roman" w:hAnsi="Times New Roman" w:cs="Times New Roman"/>
          <w:color w:val="000000" w:themeColor="text1"/>
          <w:lang w:val="fr"/>
        </w:rPr>
        <w:t xml:space="preserve">ainsi qu’à la complexité multisectorielle et </w:t>
      </w:r>
      <w:r>
        <w:rPr>
          <w:rFonts w:ascii="Times New Roman" w:eastAsia="Times New Roman" w:hAnsi="Times New Roman" w:cs="Times New Roman"/>
          <w:color w:val="000000" w:themeColor="text1"/>
          <w:lang w:val="fr"/>
        </w:rPr>
        <w:t xml:space="preserve">la </w:t>
      </w:r>
      <w:r w:rsidR="00733610" w:rsidRPr="00733610">
        <w:rPr>
          <w:rFonts w:ascii="Times New Roman" w:eastAsia="Times New Roman" w:hAnsi="Times New Roman" w:cs="Times New Roman"/>
          <w:color w:val="000000" w:themeColor="text1"/>
          <w:lang w:val="fr"/>
        </w:rPr>
        <w:t xml:space="preserve">dynamique de la malnutrition qui relève d’au moins </w:t>
      </w:r>
      <w:r>
        <w:rPr>
          <w:rFonts w:ascii="Times New Roman" w:eastAsia="Times New Roman" w:hAnsi="Times New Roman" w:cs="Times New Roman"/>
          <w:color w:val="000000" w:themeColor="text1"/>
          <w:lang w:val="fr"/>
        </w:rPr>
        <w:t>cinq</w:t>
      </w:r>
      <w:r w:rsidR="00733610" w:rsidRPr="00733610">
        <w:rPr>
          <w:rFonts w:ascii="Times New Roman" w:eastAsia="Times New Roman" w:hAnsi="Times New Roman" w:cs="Times New Roman"/>
          <w:color w:val="000000" w:themeColor="text1"/>
          <w:lang w:val="fr"/>
        </w:rPr>
        <w:t xml:space="preserve"> secteurs (santé, agriculture, eau/hygiène/assainissement, protection sociale et éducation) qui doivent agir de façon coordonnée et conjointe pour assurer le plein potentiel de croissance des enfants.</w:t>
      </w:r>
      <w:r w:rsidR="00733610" w:rsidRPr="00650383">
        <w:rPr>
          <w:rFonts w:ascii="Times New Roman" w:eastAsia="Times New Roman" w:hAnsi="Times New Roman" w:cs="Times New Roman"/>
          <w:lang w:val="fr-CA"/>
        </w:rPr>
        <w:t xml:space="preserve"> </w:t>
      </w:r>
      <w:r w:rsidR="00733610" w:rsidRPr="00733610">
        <w:rPr>
          <w:rFonts w:ascii="Times New Roman" w:eastAsia="Times New Roman" w:hAnsi="Times New Roman" w:cs="Times New Roman"/>
          <w:lang w:val="fr-CA"/>
        </w:rPr>
        <w:t>Des investissements adéquats et soutenus pour une bonne nutrition sont essentiels pour que le Niger réalise les Objectifs de Développement Durables (ODD)</w:t>
      </w:r>
      <w:r>
        <w:rPr>
          <w:rFonts w:ascii="Times New Roman" w:eastAsia="Times New Roman" w:hAnsi="Times New Roman" w:cs="Times New Roman"/>
          <w:lang w:val="fr-CA"/>
        </w:rPr>
        <w:t xml:space="preserve"> dans ce domaine</w:t>
      </w:r>
      <w:r w:rsidR="00733610" w:rsidRPr="00733610">
        <w:rPr>
          <w:rFonts w:ascii="Times New Roman" w:eastAsia="Times New Roman" w:hAnsi="Times New Roman" w:cs="Times New Roman"/>
          <w:lang w:val="fr-CA"/>
        </w:rPr>
        <w:t xml:space="preserve">. Le Niger </w:t>
      </w:r>
      <w:r w:rsidR="00733610" w:rsidRPr="00733610">
        <w:rPr>
          <w:rFonts w:ascii="Times New Roman" w:eastAsia="Times New Roman" w:hAnsi="Times New Roman" w:cs="Times New Roman"/>
          <w:bCs/>
          <w:lang w:val="fr-CA"/>
        </w:rPr>
        <w:t>devra redoubler d’efforts</w:t>
      </w:r>
      <w:r w:rsidR="00733610" w:rsidRPr="00733610">
        <w:rPr>
          <w:rFonts w:ascii="Times New Roman" w:eastAsia="Times New Roman" w:hAnsi="Times New Roman" w:cs="Times New Roman"/>
          <w:lang w:val="fr-CA"/>
        </w:rPr>
        <w:t xml:space="preserve"> dans la décennie à venir pour progresser positivement vers l’atteinte des résultats </w:t>
      </w:r>
      <w:r>
        <w:rPr>
          <w:rFonts w:ascii="Times New Roman" w:eastAsia="Times New Roman" w:hAnsi="Times New Roman" w:cs="Times New Roman"/>
          <w:lang w:val="fr-CA"/>
        </w:rPr>
        <w:t xml:space="preserve">en matière de nutrition </w:t>
      </w:r>
      <w:r w:rsidR="00733610" w:rsidRPr="00733610">
        <w:rPr>
          <w:rFonts w:ascii="Times New Roman" w:eastAsia="Times New Roman" w:hAnsi="Times New Roman" w:cs="Times New Roman"/>
          <w:lang w:val="fr-CA"/>
        </w:rPr>
        <w:t xml:space="preserve">car les </w:t>
      </w:r>
      <w:r w:rsidR="00733610" w:rsidRPr="00733610">
        <w:rPr>
          <w:rFonts w:ascii="Times New Roman" w:eastAsia="Times New Roman" w:hAnsi="Times New Roman" w:cs="Times New Roman"/>
          <w:bCs/>
          <w:lang w:val="fr-CA"/>
        </w:rPr>
        <w:t>taux de réduction annuels moyens de la prévalence de la malnutrition chronique et de l’anémie chez les femmes enceintes sont largement insuffisants</w:t>
      </w:r>
      <w:hyperlink r:id="rId42" w:anchor="_ftn2" w:history="1">
        <w:r w:rsidR="00733610" w:rsidRPr="00733610">
          <w:rPr>
            <w:rStyle w:val="Lienhypertexte"/>
            <w:rFonts w:ascii="Times New Roman" w:eastAsia="Times New Roman" w:hAnsi="Times New Roman" w:cs="Times New Roman"/>
            <w:vertAlign w:val="superscript"/>
            <w:lang w:val="fr-CA"/>
          </w:rPr>
          <w:t>[2]</w:t>
        </w:r>
      </w:hyperlink>
      <w:r w:rsidR="00733610" w:rsidRPr="00733610">
        <w:rPr>
          <w:rFonts w:ascii="Times New Roman" w:eastAsia="Times New Roman" w:hAnsi="Times New Roman" w:cs="Times New Roman"/>
          <w:lang w:val="fr-CA"/>
        </w:rPr>
        <w:t xml:space="preserve">. </w:t>
      </w:r>
    </w:p>
    <w:p w14:paraId="3B36F9B4" w14:textId="77777777" w:rsidR="000508E1" w:rsidRDefault="00733610" w:rsidP="000508E1">
      <w:pPr>
        <w:widowControl w:val="0"/>
        <w:pBdr>
          <w:top w:val="nil"/>
          <w:left w:val="nil"/>
          <w:bottom w:val="nil"/>
          <w:right w:val="nil"/>
          <w:between w:val="nil"/>
        </w:pBdr>
        <w:spacing w:before="120" w:after="120" w:line="240" w:lineRule="auto"/>
        <w:jc w:val="both"/>
        <w:rPr>
          <w:rFonts w:ascii="Times New Roman" w:eastAsia="Times New Roman" w:hAnsi="Times New Roman" w:cs="Times New Roman"/>
          <w:lang w:val="fr-CA"/>
        </w:rPr>
      </w:pPr>
      <w:r w:rsidRPr="00733610">
        <w:rPr>
          <w:rFonts w:ascii="Times New Roman" w:eastAsia="Times New Roman" w:hAnsi="Times New Roman" w:cs="Times New Roman"/>
          <w:lang w:val="fr-CA"/>
        </w:rPr>
        <w:t>La nutrition optimale est essentielle pour atteindre plusieurs ODD (ODD 1, 2, 3, 4, 5, 8, 14 et 16</w:t>
      </w:r>
      <w:r w:rsidR="00650383">
        <w:rPr>
          <w:rFonts w:ascii="Times New Roman" w:eastAsia="Times New Roman" w:hAnsi="Times New Roman" w:cs="Times New Roman"/>
          <w:lang w:val="fr-CA"/>
        </w:rPr>
        <w:t xml:space="preserve">) </w:t>
      </w:r>
      <w:r w:rsidRPr="00733610">
        <w:rPr>
          <w:rFonts w:ascii="Times New Roman" w:eastAsia="Times New Roman" w:hAnsi="Times New Roman" w:cs="Times New Roman"/>
          <w:lang w:val="fr-CA"/>
        </w:rPr>
        <w:t xml:space="preserve">respectivement pauvreté, faim, santé, éducation, égalité </w:t>
      </w:r>
      <w:r w:rsidR="00650383" w:rsidRPr="00733610">
        <w:rPr>
          <w:rFonts w:ascii="Times New Roman" w:eastAsia="Times New Roman" w:hAnsi="Times New Roman" w:cs="Times New Roman"/>
          <w:lang w:val="fr-CA"/>
        </w:rPr>
        <w:t>des sexes</w:t>
      </w:r>
      <w:r w:rsidRPr="00733610">
        <w:rPr>
          <w:rFonts w:ascii="Times New Roman" w:eastAsia="Times New Roman" w:hAnsi="Times New Roman" w:cs="Times New Roman"/>
          <w:lang w:val="fr-CA"/>
        </w:rPr>
        <w:t>, travail et économie, vie aquatique, paix, justice et institutions efficaces)</w:t>
      </w:r>
      <w:r w:rsidR="00650383">
        <w:rPr>
          <w:rFonts w:ascii="Times New Roman" w:eastAsia="Times New Roman" w:hAnsi="Times New Roman" w:cs="Times New Roman"/>
          <w:lang w:val="fr-CA"/>
        </w:rPr>
        <w:t xml:space="preserve">. De même, </w:t>
      </w:r>
      <w:r w:rsidRPr="00733610">
        <w:rPr>
          <w:rFonts w:ascii="Times New Roman" w:eastAsia="Times New Roman" w:hAnsi="Times New Roman" w:cs="Times New Roman"/>
          <w:lang w:val="fr-CA"/>
        </w:rPr>
        <w:t>plusieurs ODD ont un impact sur la sécurité nutritionnelle (ODD 6,7,9,10,11,12,13,15,17; respectivement eau, énergie, industries, inégalités, villes et communautés, consommation et production, changements climatiques, vie terrestre, partenariats). Ainsi, quoique la nutrition soit liée à l’ODD 2 (Faim zéro), une approche multisectorielle et dynamiqu</w:t>
      </w:r>
      <w:r w:rsidR="000508E1">
        <w:rPr>
          <w:rFonts w:ascii="Times New Roman" w:eastAsia="Times New Roman" w:hAnsi="Times New Roman" w:cs="Times New Roman"/>
          <w:lang w:val="fr-CA"/>
        </w:rPr>
        <w:t>e est nécessaire pour l’aborder</w:t>
      </w:r>
      <w:r w:rsidRPr="00733610">
        <w:rPr>
          <w:rFonts w:ascii="Times New Roman" w:eastAsia="Times New Roman" w:hAnsi="Times New Roman" w:cs="Times New Roman"/>
          <w:lang w:val="fr-CA"/>
        </w:rPr>
        <w:t xml:space="preserve"> de façon efficace et durable.</w:t>
      </w:r>
      <w:hyperlink r:id="rId43" w:anchor="_ftn3" w:history="1">
        <w:r w:rsidRPr="00733610">
          <w:rPr>
            <w:rStyle w:val="Lienhypertexte"/>
            <w:rFonts w:ascii="Times New Roman" w:eastAsia="Times New Roman" w:hAnsi="Times New Roman" w:cs="Times New Roman"/>
            <w:vertAlign w:val="superscript"/>
            <w:lang w:val="fr-CA"/>
          </w:rPr>
          <w:t>[3]</w:t>
        </w:r>
      </w:hyperlink>
    </w:p>
    <w:p w14:paraId="37F79E12" w14:textId="1A0554EE" w:rsidR="0028280C" w:rsidRPr="000508E1" w:rsidRDefault="000508E1" w:rsidP="000508E1">
      <w:pPr>
        <w:widowControl w:val="0"/>
        <w:pBdr>
          <w:top w:val="nil"/>
          <w:left w:val="nil"/>
          <w:bottom w:val="nil"/>
          <w:right w:val="nil"/>
          <w:between w:val="nil"/>
        </w:pBdr>
        <w:spacing w:before="120" w:after="120" w:line="240" w:lineRule="auto"/>
        <w:jc w:val="both"/>
        <w:rPr>
          <w:rFonts w:ascii="Times New Roman" w:eastAsia="Times New Roman" w:hAnsi="Times New Roman" w:cs="Times New Roman"/>
          <w:lang w:val="fr-CA"/>
        </w:rPr>
      </w:pPr>
      <w:r>
        <w:rPr>
          <w:rFonts w:ascii="Times New Roman" w:eastAsia="Times New Roman" w:hAnsi="Times New Roman" w:cs="Times New Roman"/>
          <w:lang w:val="fr-CA"/>
        </w:rPr>
        <w:t>Il convient de signaler</w:t>
      </w:r>
      <w:r w:rsidR="0028280C" w:rsidRPr="00D65296">
        <w:rPr>
          <w:rFonts w:ascii="Times New Roman" w:hAnsi="Times New Roman" w:cs="Times New Roman"/>
          <w:color w:val="000000" w:themeColor="text1"/>
        </w:rPr>
        <w:t xml:space="preserve"> les effets liés </w:t>
      </w:r>
      <w:r>
        <w:rPr>
          <w:rFonts w:ascii="Times New Roman" w:hAnsi="Times New Roman" w:cs="Times New Roman"/>
          <w:color w:val="000000" w:themeColor="text1"/>
        </w:rPr>
        <w:t xml:space="preserve">à </w:t>
      </w:r>
      <w:r w:rsidR="0028280C" w:rsidRPr="00D65296">
        <w:rPr>
          <w:rFonts w:ascii="Times New Roman" w:hAnsi="Times New Roman" w:cs="Times New Roman"/>
          <w:color w:val="000000" w:themeColor="text1"/>
        </w:rPr>
        <w:t xml:space="preserve">la COVID 19 </w:t>
      </w:r>
      <w:r>
        <w:rPr>
          <w:rFonts w:ascii="Times New Roman" w:hAnsi="Times New Roman" w:cs="Times New Roman"/>
          <w:color w:val="000000" w:themeColor="text1"/>
        </w:rPr>
        <w:t>qui ont</w:t>
      </w:r>
      <w:r w:rsidR="0028280C" w:rsidRPr="00D65296">
        <w:rPr>
          <w:rFonts w:ascii="Times New Roman" w:hAnsi="Times New Roman" w:cs="Times New Roman"/>
          <w:color w:val="000000" w:themeColor="text1"/>
        </w:rPr>
        <w:t xml:space="preserve"> entrainé la suspension des activités communautaires de nutrition pendant plusieurs mois. Il serait </w:t>
      </w:r>
      <w:r>
        <w:rPr>
          <w:rFonts w:ascii="Times New Roman" w:hAnsi="Times New Roman" w:cs="Times New Roman"/>
          <w:color w:val="000000" w:themeColor="text1"/>
        </w:rPr>
        <w:t xml:space="preserve">aussi </w:t>
      </w:r>
      <w:r w:rsidR="0028280C" w:rsidRPr="00D65296">
        <w:rPr>
          <w:rFonts w:ascii="Times New Roman" w:hAnsi="Times New Roman" w:cs="Times New Roman"/>
          <w:color w:val="000000" w:themeColor="text1"/>
        </w:rPr>
        <w:t xml:space="preserve">important de </w:t>
      </w:r>
      <w:r>
        <w:rPr>
          <w:rFonts w:ascii="Times New Roman" w:hAnsi="Times New Roman" w:cs="Times New Roman"/>
          <w:color w:val="000000" w:themeColor="text1"/>
        </w:rPr>
        <w:t xml:space="preserve">relever </w:t>
      </w:r>
      <w:r w:rsidR="0028280C" w:rsidRPr="00D65296">
        <w:rPr>
          <w:rFonts w:ascii="Times New Roman" w:hAnsi="Times New Roman" w:cs="Times New Roman"/>
          <w:color w:val="000000" w:themeColor="text1"/>
        </w:rPr>
        <w:t>l’insuffisance du suivi de ces activités à tous les niveaux et la mise à l’échelle des stratégies porteuses dans le domaine de la prévention et la prise en charge de la malnutrition</w:t>
      </w:r>
      <w:r w:rsidR="0028280C" w:rsidRPr="00D57835">
        <w:rPr>
          <w:rFonts w:ascii="Times New Roman" w:hAnsi="Times New Roman" w:cs="Times New Roman"/>
          <w:color w:val="000000" w:themeColor="text1"/>
        </w:rPr>
        <w:t>.</w:t>
      </w:r>
      <w:r w:rsidR="00D57835" w:rsidRPr="00D57835">
        <w:rPr>
          <w:rFonts w:ascii="Times New Roman" w:eastAsia="Times New Roman" w:hAnsi="Times New Roman" w:cs="Times New Roman"/>
          <w:color w:val="000000" w:themeColor="text1"/>
          <w:lang w:val="fr"/>
        </w:rPr>
        <w:t xml:space="preserve"> Plus de 50% de la mortalité infantile au Niger est liée </w:t>
      </w:r>
      <w:r>
        <w:rPr>
          <w:rFonts w:ascii="Times New Roman" w:eastAsia="Times New Roman" w:hAnsi="Times New Roman" w:cs="Times New Roman"/>
          <w:color w:val="000000" w:themeColor="text1"/>
          <w:lang w:val="fr"/>
        </w:rPr>
        <w:t>à une malnutrition sous-jacente</w:t>
      </w:r>
      <w:r w:rsidR="00D57835" w:rsidRPr="00D57835">
        <w:rPr>
          <w:rFonts w:ascii="Times New Roman" w:eastAsia="Times New Roman" w:hAnsi="Times New Roman" w:cs="Times New Roman"/>
          <w:color w:val="000000" w:themeColor="text1"/>
          <w:lang w:val="fr"/>
        </w:rPr>
        <w:t xml:space="preserve"> (tous types de malnutrition) .</w:t>
      </w:r>
      <w:hyperlink r:id="rId44" w:anchor="_ftn1" w:history="1">
        <w:r w:rsidR="00D57835" w:rsidRPr="00D57835">
          <w:rPr>
            <w:rStyle w:val="Lienhypertexte"/>
            <w:rFonts w:ascii="Times New Roman" w:eastAsia="Times New Roman" w:hAnsi="Times New Roman" w:cs="Times New Roman"/>
            <w:vertAlign w:val="superscript"/>
            <w:lang w:val="fr-CA"/>
          </w:rPr>
          <w:t>[1]</w:t>
        </w:r>
      </w:hyperlink>
      <w:r w:rsidR="00D57835" w:rsidRPr="00D57835">
        <w:rPr>
          <w:rFonts w:ascii="Times New Roman" w:eastAsia="Times New Roman" w:hAnsi="Times New Roman" w:cs="Times New Roman"/>
          <w:color w:val="000000" w:themeColor="text1"/>
          <w:lang w:val="fr"/>
        </w:rPr>
        <w:t xml:space="preserve"> La malnutrition constitue un risque permanent pour la survie des enfants et est donc un facteur majeur dans le développement du capital humain. L</w:t>
      </w:r>
      <w:r w:rsidR="00D57835" w:rsidRPr="00D57835">
        <w:rPr>
          <w:rFonts w:ascii="Times New Roman" w:eastAsia="Times New Roman" w:hAnsi="Times New Roman" w:cs="Times New Roman"/>
          <w:lang w:val="fr"/>
        </w:rPr>
        <w:t xml:space="preserve">orsqu’elle n’est pas </w:t>
      </w:r>
      <w:r>
        <w:rPr>
          <w:rFonts w:ascii="Times New Roman" w:eastAsia="Times New Roman" w:hAnsi="Times New Roman" w:cs="Times New Roman"/>
          <w:lang w:val="fr"/>
        </w:rPr>
        <w:t>maîtrisée</w:t>
      </w:r>
      <w:r w:rsidR="00D57835" w:rsidRPr="00D57835">
        <w:rPr>
          <w:rFonts w:ascii="Times New Roman" w:eastAsia="Times New Roman" w:hAnsi="Times New Roman" w:cs="Times New Roman"/>
          <w:lang w:val="fr"/>
        </w:rPr>
        <w:t xml:space="preserve"> avant l’âge de 2 ans, la malnutrition chronique entraîne des </w:t>
      </w:r>
      <w:r w:rsidR="00D57835" w:rsidRPr="00D57835">
        <w:rPr>
          <w:rFonts w:ascii="Times New Roman" w:eastAsia="Times New Roman" w:hAnsi="Times New Roman" w:cs="Times New Roman"/>
          <w:bCs/>
          <w:lang w:val="fr-CA"/>
        </w:rPr>
        <w:t>conséquences irréversibles</w:t>
      </w:r>
      <w:r w:rsidR="00D57835" w:rsidRPr="00D57835">
        <w:rPr>
          <w:rFonts w:ascii="Times New Roman" w:eastAsia="Times New Roman" w:hAnsi="Times New Roman" w:cs="Times New Roman"/>
          <w:lang w:val="fr-CA"/>
        </w:rPr>
        <w:t xml:space="preserve"> sur le développement, la santé et la capacité d’apprentissage de l’enfant et sa productivité potentielle à l’âge adulte. </w:t>
      </w:r>
      <w:r w:rsidR="00D57835" w:rsidRPr="00D57835">
        <w:rPr>
          <w:rFonts w:ascii="Times New Roman" w:eastAsia="Times New Roman" w:hAnsi="Times New Roman" w:cs="Times New Roman"/>
          <w:color w:val="000000" w:themeColor="text1"/>
          <w:lang w:val="fr"/>
        </w:rPr>
        <w:t>En effet, les coûts annuels associés à la sous-nutrition chez l’enfant au Niger ont été estimés à 289,7 milliards de CFA, soit 7,1% du produit intérieur brut annuel</w:t>
      </w:r>
      <w:hyperlink r:id="rId45" w:anchor="_ftn2" w:history="1">
        <w:r w:rsidR="00D57835" w:rsidRPr="00D57835">
          <w:rPr>
            <w:rStyle w:val="Lienhypertexte"/>
            <w:rFonts w:ascii="Times New Roman" w:eastAsia="Times New Roman" w:hAnsi="Times New Roman" w:cs="Times New Roman"/>
            <w:vertAlign w:val="superscript"/>
            <w:lang w:val="fr"/>
          </w:rPr>
          <w:t>[2]</w:t>
        </w:r>
      </w:hyperlink>
      <w:r w:rsidR="00650383">
        <w:rPr>
          <w:rFonts w:ascii="Times New Roman" w:eastAsia="Times New Roman" w:hAnsi="Times New Roman" w:cs="Times New Roman"/>
          <w:color w:val="000000" w:themeColor="text1"/>
          <w:lang w:val="fr"/>
        </w:rPr>
        <w:t>.</w:t>
      </w:r>
      <w:r>
        <w:rPr>
          <w:rFonts w:ascii="Times New Roman" w:eastAsia="Times New Roman" w:hAnsi="Times New Roman" w:cs="Times New Roman"/>
          <w:lang w:val="fr-CA"/>
        </w:rPr>
        <w:t xml:space="preserve"> </w:t>
      </w:r>
      <w:r w:rsidR="0028280C" w:rsidRPr="00D65296">
        <w:rPr>
          <w:rFonts w:ascii="Times New Roman" w:hAnsi="Times New Roman" w:cs="Times New Roman"/>
          <w:color w:val="000000" w:themeColor="text1"/>
        </w:rPr>
        <w:t xml:space="preserve">Des situations de crises humanitaires localisées ont été notées entrainant des déplacements de population et des besoins d’urgence ayant pu contribuer à des pics de malnutrition aigüe localisés </w:t>
      </w:r>
      <w:r w:rsidR="0028280C" w:rsidRPr="00D65296">
        <w:rPr>
          <w:rFonts w:ascii="Times New Roman" w:hAnsi="Times New Roman" w:cs="Times New Roman"/>
          <w:color w:val="000000" w:themeColor="text1"/>
        </w:rPr>
        <w:lastRenderedPageBreak/>
        <w:t>notamment dans la région de Diffa avec une prévalence de la MAG de (19,3%) en 2020 </w:t>
      </w:r>
    </w:p>
    <w:p w14:paraId="411E670F" w14:textId="7062C21F" w:rsidR="000508E1" w:rsidRDefault="00D57835" w:rsidP="0028280C">
      <w:pPr>
        <w:widowControl w:val="0"/>
        <w:pBdr>
          <w:top w:val="nil"/>
          <w:left w:val="nil"/>
          <w:bottom w:val="nil"/>
          <w:right w:val="nil"/>
          <w:between w:val="nil"/>
        </w:pBdr>
        <w:spacing w:line="240" w:lineRule="auto"/>
        <w:jc w:val="both"/>
        <w:rPr>
          <w:rFonts w:ascii="Times New Roman" w:hAnsi="Times New Roman" w:cs="Times New Roman"/>
          <w:color w:val="000000" w:themeColor="text1"/>
        </w:rPr>
      </w:pPr>
      <w:r w:rsidRPr="00D57835">
        <w:rPr>
          <w:rFonts w:ascii="Times New Roman" w:eastAsia="Times New Roman" w:hAnsi="Times New Roman" w:cs="Times New Roman"/>
          <w:color w:val="000000" w:themeColor="text1"/>
          <w:lang w:val="fr"/>
        </w:rPr>
        <w:t xml:space="preserve">L’état nutritionnel des femmes et des enfants nigériens est à mettre en relation, entre autres mais non exclusivement, avec les faiblesses de développement agricole et d’accès à l’eau </w:t>
      </w:r>
      <w:r w:rsidR="000508E1">
        <w:rPr>
          <w:rFonts w:ascii="Times New Roman" w:eastAsia="Times New Roman" w:hAnsi="Times New Roman" w:cs="Times New Roman"/>
          <w:color w:val="000000" w:themeColor="text1"/>
          <w:lang w:val="fr"/>
        </w:rPr>
        <w:t>qui crée</w:t>
      </w:r>
      <w:r w:rsidRPr="00D57835">
        <w:rPr>
          <w:rFonts w:ascii="Times New Roman" w:eastAsia="Times New Roman" w:hAnsi="Times New Roman" w:cs="Times New Roman"/>
          <w:color w:val="000000" w:themeColor="text1"/>
          <w:lang w:val="fr"/>
        </w:rPr>
        <w:t xml:space="preserve"> l’insécurité alimentaire dans</w:t>
      </w:r>
      <w:r w:rsidRPr="00250138">
        <w:rPr>
          <w:rFonts w:ascii="Times New Roman" w:hAnsi="Times New Roman" w:cs="Times New Roman"/>
          <w:color w:val="000000" w:themeColor="text1"/>
        </w:rPr>
        <w:t xml:space="preserve"> </w:t>
      </w:r>
      <w:r w:rsidR="0028280C" w:rsidRPr="00250138">
        <w:rPr>
          <w:rFonts w:ascii="Times New Roman" w:hAnsi="Times New Roman" w:cs="Times New Roman"/>
          <w:color w:val="000000" w:themeColor="text1"/>
        </w:rPr>
        <w:t>3 909 villages agricoles sur les 12 816 villages agricoles (DNPGCA</w:t>
      </w:r>
      <w:r w:rsidR="0028280C" w:rsidRPr="00250138">
        <w:rPr>
          <w:rFonts w:ascii="Times New Roman" w:hAnsi="Times New Roman" w:cs="Times New Roman"/>
          <w:color w:val="000000" w:themeColor="text1"/>
        </w:rPr>
        <w:footnoteReference w:id="32"/>
      </w:r>
      <w:r w:rsidR="0028280C" w:rsidRPr="00250138">
        <w:rPr>
          <w:rFonts w:ascii="Times New Roman" w:hAnsi="Times New Roman" w:cs="Times New Roman"/>
          <w:color w:val="000000" w:themeColor="text1"/>
        </w:rPr>
        <w:t>, 2020). D'après les résultats des analyses du Cadre harmonisé de novembre 2020, près de 2 millions de personnes ont été identifiés en état d’insécurité alimentaire aigue (phase 3 et plus de IPC) en juin-ju</w:t>
      </w:r>
      <w:r w:rsidR="00F5173D">
        <w:rPr>
          <w:rFonts w:ascii="Times New Roman" w:hAnsi="Times New Roman" w:cs="Times New Roman"/>
          <w:color w:val="000000" w:themeColor="text1"/>
        </w:rPr>
        <w:t xml:space="preserve">illet-aout 2020. </w:t>
      </w:r>
    </w:p>
    <w:p w14:paraId="3177F2E7" w14:textId="2C6D2387" w:rsidR="0028280C" w:rsidRPr="00250138" w:rsidRDefault="000508E1" w:rsidP="0028280C">
      <w:pPr>
        <w:widowControl w:val="0"/>
        <w:pBdr>
          <w:top w:val="nil"/>
          <w:left w:val="nil"/>
          <w:bottom w:val="nil"/>
          <w:right w:val="nil"/>
          <w:between w:val="nil"/>
        </w:pBdr>
        <w:spacing w:line="240" w:lineRule="auto"/>
        <w:jc w:val="both"/>
        <w:rPr>
          <w:rFonts w:ascii="Times New Roman" w:hAnsi="Times New Roman" w:cs="Times New Roman"/>
          <w:color w:val="000000" w:themeColor="text1"/>
        </w:rPr>
      </w:pPr>
      <w:r>
        <w:rPr>
          <w:rFonts w:ascii="Times New Roman" w:hAnsi="Times New Roman" w:cs="Times New Roman"/>
          <w:color w:val="000000" w:themeColor="text1"/>
        </w:rPr>
        <w:t>L’apparition de la</w:t>
      </w:r>
      <w:r w:rsidR="0028280C" w:rsidRPr="00250138">
        <w:rPr>
          <w:rFonts w:ascii="Times New Roman" w:hAnsi="Times New Roman" w:cs="Times New Roman"/>
          <w:color w:val="000000" w:themeColor="text1"/>
        </w:rPr>
        <w:t xml:space="preserve"> COVID-19 en mars 2020 a empiré la situation du fait des restrictions sur les déplacements et ses conséquences sur la sécurité alimentaire et les moyens d’existence </w:t>
      </w:r>
      <w:r>
        <w:rPr>
          <w:rFonts w:ascii="Times New Roman" w:hAnsi="Times New Roman" w:cs="Times New Roman"/>
          <w:color w:val="000000" w:themeColor="text1"/>
        </w:rPr>
        <w:t>des ménages.</w:t>
      </w:r>
      <w:r w:rsidR="0028280C" w:rsidRPr="00250138">
        <w:rPr>
          <w:rFonts w:ascii="Times New Roman" w:hAnsi="Times New Roman" w:cs="Times New Roman"/>
          <w:color w:val="000000" w:themeColor="text1"/>
        </w:rPr>
        <w:t xml:space="preserve"> L’actualisation de l’analyse Cadre Harmonisé a </w:t>
      </w:r>
      <w:r>
        <w:rPr>
          <w:rFonts w:ascii="Times New Roman" w:hAnsi="Times New Roman" w:cs="Times New Roman"/>
          <w:color w:val="000000" w:themeColor="text1"/>
        </w:rPr>
        <w:t>mis en évidence</w:t>
      </w:r>
      <w:r w:rsidR="0028280C" w:rsidRPr="00250138">
        <w:rPr>
          <w:rFonts w:ascii="Times New Roman" w:hAnsi="Times New Roman" w:cs="Times New Roman"/>
          <w:color w:val="000000" w:themeColor="text1"/>
        </w:rPr>
        <w:t xml:space="preserve"> un dysfonctionnement des moyens et des marchés provo</w:t>
      </w:r>
      <w:r>
        <w:rPr>
          <w:rFonts w:ascii="Times New Roman" w:hAnsi="Times New Roman" w:cs="Times New Roman"/>
          <w:color w:val="000000" w:themeColor="text1"/>
        </w:rPr>
        <w:t>qués par les effets indirects de la</w:t>
      </w:r>
      <w:r w:rsidR="0028280C" w:rsidRPr="00250138">
        <w:rPr>
          <w:rFonts w:ascii="Times New Roman" w:hAnsi="Times New Roman" w:cs="Times New Roman"/>
          <w:color w:val="000000" w:themeColor="text1"/>
        </w:rPr>
        <w:t xml:space="preserve"> COVID-19, ce qui a fait basculer près de 700 000 personnes en plus dans la situation d’insécurité alimentaire (Phase 3 et plus de IPC</w:t>
      </w:r>
      <w:r w:rsidR="0028280C" w:rsidRPr="00250138">
        <w:rPr>
          <w:rFonts w:ascii="Times New Roman" w:hAnsi="Times New Roman" w:cs="Times New Roman"/>
          <w:color w:val="000000" w:themeColor="text1"/>
        </w:rPr>
        <w:footnoteReference w:id="33"/>
      </w:r>
      <w:r>
        <w:rPr>
          <w:rFonts w:ascii="Times New Roman" w:hAnsi="Times New Roman" w:cs="Times New Roman"/>
          <w:color w:val="000000" w:themeColor="text1"/>
        </w:rPr>
        <w:t>) en juin-juillet-aoû</w:t>
      </w:r>
      <w:r w:rsidR="0028280C" w:rsidRPr="00250138">
        <w:rPr>
          <w:rFonts w:ascii="Times New Roman" w:hAnsi="Times New Roman" w:cs="Times New Roman"/>
          <w:color w:val="000000" w:themeColor="text1"/>
        </w:rPr>
        <w:t xml:space="preserve">t, ce qui porte la population dans le besoin à 2,7 millions de personnes. Un plan d’assistance Etat-partenaires a été élaboré en vue de son financement et de sa mise en œuvre pour couvrir 2 millions de personnes qui ont bénéficié de distributions gratuites de cash ou de vivres, y compris dans les zones urbaines qui constituent des nouvelles </w:t>
      </w:r>
      <w:r>
        <w:rPr>
          <w:rFonts w:ascii="Times New Roman" w:hAnsi="Times New Roman" w:cs="Times New Roman"/>
          <w:color w:val="000000" w:themeColor="text1"/>
        </w:rPr>
        <w:t>poches</w:t>
      </w:r>
      <w:r w:rsidR="0028280C" w:rsidRPr="00250138">
        <w:rPr>
          <w:rFonts w:ascii="Times New Roman" w:hAnsi="Times New Roman" w:cs="Times New Roman"/>
          <w:color w:val="000000" w:themeColor="text1"/>
        </w:rPr>
        <w:t xml:space="preserve"> d’insécurité alimentaire suite au COVID-19.</w:t>
      </w:r>
    </w:p>
    <w:p w14:paraId="7BE6606F" w14:textId="159BF7B1" w:rsidR="00952F94" w:rsidRPr="00250138" w:rsidRDefault="0028280C" w:rsidP="00952F94">
      <w:pPr>
        <w:widowControl w:val="0"/>
        <w:pBdr>
          <w:top w:val="nil"/>
          <w:left w:val="nil"/>
          <w:bottom w:val="nil"/>
          <w:right w:val="nil"/>
          <w:between w:val="nil"/>
        </w:pBdr>
        <w:spacing w:before="120" w:after="120" w:line="240" w:lineRule="auto"/>
        <w:jc w:val="both"/>
        <w:rPr>
          <w:rFonts w:ascii="Times New Roman" w:hAnsi="Times New Roman" w:cs="Times New Roman"/>
          <w:color w:val="000000" w:themeColor="text1"/>
        </w:rPr>
      </w:pPr>
      <w:r w:rsidRPr="00250138">
        <w:rPr>
          <w:rFonts w:ascii="Times New Roman" w:hAnsi="Times New Roman" w:cs="Times New Roman"/>
          <w:color w:val="000000" w:themeColor="text1"/>
        </w:rPr>
        <w:t xml:space="preserve">De ces résultats, on relève un faible accès aux services de santé y compris de reproduction, maternelle, néonatale et infantile et de nutrition (SRMNIN). Cela </w:t>
      </w:r>
      <w:r w:rsidR="000508E1">
        <w:rPr>
          <w:rFonts w:ascii="Times New Roman" w:hAnsi="Times New Roman" w:cs="Times New Roman"/>
          <w:color w:val="000000" w:themeColor="text1"/>
        </w:rPr>
        <w:t>est imputable</w:t>
      </w:r>
      <w:r w:rsidRPr="00250138">
        <w:rPr>
          <w:rFonts w:ascii="Times New Roman" w:hAnsi="Times New Roman" w:cs="Times New Roman"/>
          <w:color w:val="000000" w:themeColor="text1"/>
        </w:rPr>
        <w:t xml:space="preserve"> en particulier à la forte pression démographique sur le système de santé, la faible disponibilité des services de santé, SSR et de nutrition, la faible utilisation des services de santé et l’absence de mécanisme de protection contre les risques financiers (assurance maladie).</w:t>
      </w:r>
      <w:r w:rsidR="00EA5682">
        <w:rPr>
          <w:rFonts w:ascii="Times New Roman" w:hAnsi="Times New Roman" w:cs="Times New Roman"/>
          <w:color w:val="000000" w:themeColor="text1"/>
        </w:rPr>
        <w:t xml:space="preserve"> </w:t>
      </w:r>
      <w:r w:rsidR="00952F94" w:rsidRPr="00952F94">
        <w:rPr>
          <w:rFonts w:ascii="Times New Roman" w:eastAsia="Times New Roman" w:hAnsi="Times New Roman" w:cs="Times New Roman"/>
          <w:color w:val="000000" w:themeColor="text1"/>
          <w:lang w:val="fr"/>
        </w:rPr>
        <w:t xml:space="preserve">De plus, les actions multisectorielles de prévention de </w:t>
      </w:r>
      <w:r w:rsidR="000508E1" w:rsidRPr="00952F94">
        <w:rPr>
          <w:rFonts w:ascii="Times New Roman" w:eastAsia="Times New Roman" w:hAnsi="Times New Roman" w:cs="Times New Roman"/>
          <w:color w:val="000000" w:themeColor="text1"/>
          <w:lang w:val="fr"/>
        </w:rPr>
        <w:t>la</w:t>
      </w:r>
      <w:r w:rsidR="00952F94" w:rsidRPr="00952F94">
        <w:rPr>
          <w:rFonts w:ascii="Times New Roman" w:eastAsia="Times New Roman" w:hAnsi="Times New Roman" w:cs="Times New Roman"/>
          <w:color w:val="000000" w:themeColor="text1"/>
          <w:lang w:val="fr"/>
        </w:rPr>
        <w:t xml:space="preserve"> malnutrition ont une couverture largement insuffisante ce qu</w:t>
      </w:r>
      <w:r w:rsidR="000508E1">
        <w:rPr>
          <w:rFonts w:ascii="Times New Roman" w:eastAsia="Times New Roman" w:hAnsi="Times New Roman" w:cs="Times New Roman"/>
          <w:color w:val="000000" w:themeColor="text1"/>
          <w:lang w:val="fr"/>
        </w:rPr>
        <w:t>i provoque</w:t>
      </w:r>
      <w:r w:rsidR="00952F94" w:rsidRPr="00952F94">
        <w:rPr>
          <w:rFonts w:ascii="Times New Roman" w:eastAsia="Times New Roman" w:hAnsi="Times New Roman" w:cs="Times New Roman"/>
          <w:color w:val="000000" w:themeColor="text1"/>
          <w:lang w:val="fr"/>
        </w:rPr>
        <w:t xml:space="preserve"> une pression sur </w:t>
      </w:r>
      <w:r w:rsidR="000508E1">
        <w:rPr>
          <w:rFonts w:ascii="Times New Roman" w:eastAsia="Times New Roman" w:hAnsi="Times New Roman" w:cs="Times New Roman"/>
          <w:color w:val="000000" w:themeColor="text1"/>
          <w:lang w:val="fr"/>
        </w:rPr>
        <w:t>le</w:t>
      </w:r>
      <w:r w:rsidR="00952F94" w:rsidRPr="00952F94">
        <w:rPr>
          <w:rFonts w:ascii="Times New Roman" w:eastAsia="Times New Roman" w:hAnsi="Times New Roman" w:cs="Times New Roman"/>
          <w:color w:val="000000" w:themeColor="text1"/>
          <w:lang w:val="fr"/>
        </w:rPr>
        <w:t xml:space="preserve"> système sanitaire</w:t>
      </w:r>
      <w:r w:rsidR="000508E1">
        <w:rPr>
          <w:rFonts w:ascii="Times New Roman" w:eastAsia="Times New Roman" w:hAnsi="Times New Roman" w:cs="Times New Roman"/>
          <w:color w:val="000000" w:themeColor="text1"/>
          <w:lang w:val="fr"/>
        </w:rPr>
        <w:t xml:space="preserve"> déjà</w:t>
      </w:r>
      <w:r w:rsidR="00952F94" w:rsidRPr="00952F94">
        <w:rPr>
          <w:rFonts w:ascii="Times New Roman" w:eastAsia="Times New Roman" w:hAnsi="Times New Roman" w:cs="Times New Roman"/>
          <w:color w:val="000000" w:themeColor="text1"/>
          <w:lang w:val="fr"/>
        </w:rPr>
        <w:t xml:space="preserve"> fragile alors que des solutions en amont sont possibles pour la mitiger.</w:t>
      </w:r>
      <w:r w:rsidR="00952F94" w:rsidRPr="0F9B0BB3">
        <w:rPr>
          <w:rFonts w:ascii="Times New Roman" w:hAnsi="Times New Roman" w:cs="Times New Roman"/>
          <w:color w:val="000000" w:themeColor="text1"/>
        </w:rPr>
        <w:t xml:space="preserve"> </w:t>
      </w:r>
    </w:p>
    <w:p w14:paraId="233C7D8F" w14:textId="5859C674" w:rsidR="003A2FFE" w:rsidRPr="00250138" w:rsidRDefault="00EA5682" w:rsidP="0028280C">
      <w:pPr>
        <w:widowControl w:val="0"/>
        <w:pBdr>
          <w:top w:val="nil"/>
          <w:left w:val="nil"/>
          <w:bottom w:val="nil"/>
          <w:right w:val="nil"/>
          <w:between w:val="nil"/>
        </w:pBdr>
        <w:spacing w:line="240" w:lineRule="auto"/>
        <w:jc w:val="both"/>
        <w:rPr>
          <w:rFonts w:ascii="Times New Roman" w:hAnsi="Times New Roman" w:cs="Times New Roman"/>
          <w:color w:val="000000" w:themeColor="text1"/>
        </w:rPr>
      </w:pPr>
      <w:r>
        <w:rPr>
          <w:rFonts w:ascii="Times New Roman" w:hAnsi="Times New Roman" w:cs="Times New Roman"/>
          <w:color w:val="000000" w:themeColor="text1"/>
        </w:rPr>
        <w:t>Ces défis ont été aussi relevés par le comité des droits économiques, sociaux et culturels l</w:t>
      </w:r>
      <w:r w:rsidR="003A2FFE">
        <w:rPr>
          <w:rFonts w:ascii="Times New Roman" w:hAnsi="Times New Roman" w:cs="Times New Roman"/>
          <w:color w:val="000000" w:themeColor="text1"/>
        </w:rPr>
        <w:t>ors de l’examen du rapport initial du Niger sur la mise en œuvre du Pacte International sur les Droits Economiques, So</w:t>
      </w:r>
      <w:r>
        <w:rPr>
          <w:rFonts w:ascii="Times New Roman" w:hAnsi="Times New Roman" w:cs="Times New Roman"/>
          <w:color w:val="000000" w:themeColor="text1"/>
        </w:rPr>
        <w:t>ci</w:t>
      </w:r>
      <w:r w:rsidR="00952F94">
        <w:rPr>
          <w:rFonts w:ascii="Times New Roman" w:hAnsi="Times New Roman" w:cs="Times New Roman"/>
          <w:color w:val="000000" w:themeColor="text1"/>
        </w:rPr>
        <w:t xml:space="preserve">aux et Culturels en Mars 2018. </w:t>
      </w:r>
      <w:r>
        <w:rPr>
          <w:rFonts w:ascii="Times New Roman" w:hAnsi="Times New Roman" w:cs="Times New Roman"/>
          <w:color w:val="000000" w:themeColor="text1"/>
        </w:rPr>
        <w:t xml:space="preserve">Pour surmonter ces défis, le comité </w:t>
      </w:r>
      <w:r>
        <w:rPr>
          <w:rFonts w:ascii="Times New Roman" w:hAnsi="Times New Roman" w:cs="Times New Roman"/>
          <w:lang w:eastAsia="fr-FR"/>
        </w:rPr>
        <w:t xml:space="preserve">a recommandé que </w:t>
      </w:r>
      <w:r w:rsidR="003A2FFE" w:rsidRPr="00EA5682">
        <w:rPr>
          <w:rFonts w:ascii="Times New Roman" w:hAnsi="Times New Roman" w:cs="Times New Roman"/>
          <w:lang w:eastAsia="fr-FR"/>
        </w:rPr>
        <w:t xml:space="preserve">la mise en œuvre de la Politique </w:t>
      </w:r>
      <w:r>
        <w:rPr>
          <w:rFonts w:ascii="Times New Roman" w:hAnsi="Times New Roman" w:cs="Times New Roman"/>
          <w:lang w:eastAsia="fr-FR"/>
        </w:rPr>
        <w:t xml:space="preserve">nationale de santé (2016-2035) prenne en compte </w:t>
      </w:r>
      <w:r w:rsidR="003A2FFE" w:rsidRPr="00EA5682">
        <w:rPr>
          <w:rFonts w:ascii="Times New Roman" w:hAnsi="Times New Roman" w:cs="Times New Roman"/>
          <w:bCs/>
        </w:rPr>
        <w:t xml:space="preserve">d’urgence des mesures visant à réduire le niveau élevé de </w:t>
      </w:r>
      <w:r w:rsidR="000508E1">
        <w:rPr>
          <w:rFonts w:ascii="Times New Roman" w:hAnsi="Times New Roman" w:cs="Times New Roman"/>
          <w:bCs/>
        </w:rPr>
        <w:t xml:space="preserve">la </w:t>
      </w:r>
      <w:r w:rsidR="003A2FFE" w:rsidRPr="00EA5682">
        <w:rPr>
          <w:rFonts w:ascii="Times New Roman" w:hAnsi="Times New Roman" w:cs="Times New Roman"/>
          <w:bCs/>
        </w:rPr>
        <w:t>mortalité maternelle et infantile, et de faire en sorte que les naissances se déroulent avec l’as</w:t>
      </w:r>
      <w:r w:rsidR="000508E1">
        <w:rPr>
          <w:rFonts w:ascii="Times New Roman" w:hAnsi="Times New Roman" w:cs="Times New Roman"/>
          <w:bCs/>
        </w:rPr>
        <w:t>sistance de personnel qualifié. Elle doit  élargir</w:t>
      </w:r>
      <w:r w:rsidR="003A2FFE" w:rsidRPr="00EA5682">
        <w:rPr>
          <w:rFonts w:ascii="Times New Roman" w:hAnsi="Times New Roman" w:cs="Times New Roman"/>
          <w:bCs/>
        </w:rPr>
        <w:t xml:space="preserve"> les segments de la population qui peuvent accéder à des soins de santé gratuits, en particulier les groupes les</w:t>
      </w:r>
      <w:r>
        <w:rPr>
          <w:rFonts w:ascii="Times New Roman" w:hAnsi="Times New Roman" w:cs="Times New Roman"/>
          <w:bCs/>
        </w:rPr>
        <w:t xml:space="preserve"> plus vulnérables et </w:t>
      </w:r>
      <w:r w:rsidR="000508E1">
        <w:rPr>
          <w:rFonts w:ascii="Times New Roman" w:hAnsi="Times New Roman" w:cs="Times New Roman"/>
          <w:bCs/>
        </w:rPr>
        <w:t>accélérer</w:t>
      </w:r>
      <w:r w:rsidR="003A2FFE" w:rsidRPr="00EA5682">
        <w:rPr>
          <w:rFonts w:ascii="Times New Roman" w:hAnsi="Times New Roman" w:cs="Times New Roman"/>
          <w:bCs/>
        </w:rPr>
        <w:t xml:space="preserve"> l’adoption des mesures législatives prévues par</w:t>
      </w:r>
      <w:r w:rsidR="003A2FFE" w:rsidRPr="00EA5682">
        <w:rPr>
          <w:rFonts w:ascii="Times New Roman" w:hAnsi="Times New Roman" w:cs="Times New Roman"/>
          <w:bCs/>
          <w:color w:val="000000"/>
          <w:lang w:eastAsia="fr-FR"/>
        </w:rPr>
        <w:t xml:space="preserve"> l’État partie </w:t>
      </w:r>
      <w:r w:rsidR="003A2FFE" w:rsidRPr="00EA5682">
        <w:rPr>
          <w:rFonts w:ascii="Times New Roman" w:hAnsi="Times New Roman" w:cs="Times New Roman"/>
          <w:bCs/>
        </w:rPr>
        <w:t>visant à développer une assurance maladie universelle, y compris un régime non contributif pour les populations vulnérables</w:t>
      </w:r>
      <w:r w:rsidR="000508E1">
        <w:rPr>
          <w:rFonts w:ascii="Times New Roman" w:hAnsi="Times New Roman" w:cs="Times New Roman"/>
          <w:bCs/>
        </w:rPr>
        <w:t>. Elle doit aussi permettre l</w:t>
      </w:r>
      <w:r w:rsidR="003A2FFE" w:rsidRPr="00EA5682">
        <w:rPr>
          <w:rFonts w:ascii="Times New Roman" w:hAnsi="Times New Roman" w:cs="Times New Roman"/>
          <w:bCs/>
        </w:rPr>
        <w:t>a réalisation de l’objectif de la Déclaration d’Abuja relatif à l’allocation budgétai</w:t>
      </w:r>
      <w:r>
        <w:rPr>
          <w:rFonts w:ascii="Times New Roman" w:hAnsi="Times New Roman" w:cs="Times New Roman"/>
          <w:bCs/>
        </w:rPr>
        <w:t>re au secteur de la santé et  la poursuite d</w:t>
      </w:r>
      <w:r w:rsidR="003A2FFE" w:rsidRPr="00EA5682">
        <w:rPr>
          <w:rFonts w:ascii="Times New Roman" w:hAnsi="Times New Roman" w:cs="Times New Roman"/>
          <w:bCs/>
        </w:rPr>
        <w:t>es efforts pour garantir l’accessibilité, la disponibilité et la qualité des services de santé, en particulier dans les zones rurales.</w:t>
      </w:r>
    </w:p>
    <w:p w14:paraId="7A3F5D44" w14:textId="77777777" w:rsidR="0028280C" w:rsidRPr="00E25B1F" w:rsidRDefault="0028280C" w:rsidP="00E25B1F">
      <w:pPr>
        <w:pStyle w:val="Titre3"/>
        <w:rPr>
          <w:rFonts w:ascii="Bernard MT Condensed" w:hAnsi="Bernard MT Condensed"/>
        </w:rPr>
      </w:pPr>
      <w:bookmarkStart w:id="136" w:name="_Toc86345244"/>
      <w:bookmarkStart w:id="137" w:name="_Toc86687724"/>
      <w:bookmarkStart w:id="138" w:name="_Toc89479406"/>
      <w:bookmarkStart w:id="139" w:name="_Toc89480904"/>
      <w:bookmarkStart w:id="140" w:name="_Toc94480146"/>
      <w:bookmarkStart w:id="141" w:name="_Toc94481807"/>
      <w:bookmarkStart w:id="142" w:name="_Toc94482070"/>
      <w:r w:rsidRPr="00E25B1F">
        <w:rPr>
          <w:rFonts w:ascii="Bernard MT Condensed" w:hAnsi="Bernard MT Condensed"/>
        </w:rPr>
        <w:t>I.4.3 - Eau, Hygiène et Assainissement</w:t>
      </w:r>
      <w:bookmarkEnd w:id="136"/>
      <w:bookmarkEnd w:id="137"/>
      <w:bookmarkEnd w:id="138"/>
      <w:bookmarkEnd w:id="139"/>
      <w:bookmarkEnd w:id="140"/>
      <w:bookmarkEnd w:id="141"/>
      <w:bookmarkEnd w:id="142"/>
    </w:p>
    <w:p w14:paraId="6BE9F0E9" w14:textId="53635F4B" w:rsidR="0028280C" w:rsidRPr="00BF4B16" w:rsidRDefault="0028280C" w:rsidP="0028280C">
      <w:pPr>
        <w:widowControl w:val="0"/>
        <w:pBdr>
          <w:top w:val="nil"/>
          <w:left w:val="nil"/>
          <w:bottom w:val="nil"/>
          <w:right w:val="nil"/>
          <w:between w:val="nil"/>
        </w:pBdr>
        <w:spacing w:line="240" w:lineRule="auto"/>
        <w:jc w:val="both"/>
        <w:rPr>
          <w:rFonts w:ascii="Times New Roman" w:hAnsi="Times New Roman" w:cs="Times New Roman"/>
          <w:color w:val="000000" w:themeColor="text1"/>
        </w:rPr>
      </w:pPr>
      <w:r w:rsidRPr="00BF4B16">
        <w:rPr>
          <w:rFonts w:ascii="Times New Roman" w:hAnsi="Times New Roman" w:cs="Times New Roman"/>
          <w:color w:val="000000" w:themeColor="text1"/>
        </w:rPr>
        <w:t>L'accès à l'eau potable, à l'assainissement ainsi que l’adoption et le maintien de bonnes pratiques d’hygiène demeurent un défi majeur au Niger. En effet, en 2020, 49.6% de la population a accès aux services basiques d’eau potable (50.4% en milieu rural contre 45.4% en mil</w:t>
      </w:r>
      <w:r w:rsidR="000508E1">
        <w:rPr>
          <w:rFonts w:ascii="Times New Roman" w:hAnsi="Times New Roman" w:cs="Times New Roman"/>
          <w:color w:val="000000" w:themeColor="text1"/>
        </w:rPr>
        <w:t>ieu urbain) et 9.2% aux service</w:t>
      </w:r>
      <w:r w:rsidRPr="00BF4B16">
        <w:rPr>
          <w:rFonts w:ascii="Times New Roman" w:hAnsi="Times New Roman" w:cs="Times New Roman"/>
          <w:color w:val="000000" w:themeColor="text1"/>
        </w:rPr>
        <w:t xml:space="preserve"> optimal avec une très forte disparité entre le milieu urbain (48.8%) et le milieu rural (1.8%)</w:t>
      </w:r>
      <w:r>
        <w:rPr>
          <w:rStyle w:val="Appelnotedebasdep"/>
          <w:rFonts w:ascii="Times New Roman" w:hAnsi="Times New Roman" w:cs="Times New Roman"/>
          <w:color w:val="000000" w:themeColor="text1"/>
        </w:rPr>
        <w:footnoteReference w:id="34"/>
      </w:r>
      <w:r w:rsidRPr="00BF4B16">
        <w:rPr>
          <w:rFonts w:ascii="Times New Roman" w:hAnsi="Times New Roman" w:cs="Times New Roman"/>
          <w:color w:val="000000" w:themeColor="text1"/>
        </w:rPr>
        <w:t>de même qu’entre régions et communes.</w:t>
      </w:r>
    </w:p>
    <w:p w14:paraId="08CC1A8D" w14:textId="264B9691" w:rsidR="0028280C" w:rsidRPr="00250138" w:rsidRDefault="0028280C" w:rsidP="0028280C">
      <w:pPr>
        <w:widowControl w:val="0"/>
        <w:pBdr>
          <w:top w:val="nil"/>
          <w:left w:val="nil"/>
          <w:bottom w:val="nil"/>
          <w:right w:val="nil"/>
          <w:between w:val="nil"/>
        </w:pBdr>
        <w:spacing w:line="240" w:lineRule="auto"/>
        <w:jc w:val="both"/>
        <w:rPr>
          <w:rFonts w:ascii="Times New Roman" w:hAnsi="Times New Roman" w:cs="Times New Roman"/>
          <w:color w:val="000000" w:themeColor="text1"/>
        </w:rPr>
      </w:pPr>
      <w:r w:rsidRPr="00BF4B16">
        <w:rPr>
          <w:rFonts w:ascii="Times New Roman" w:hAnsi="Times New Roman" w:cs="Times New Roman"/>
          <w:color w:val="000000" w:themeColor="text1"/>
        </w:rPr>
        <w:t xml:space="preserve">Dans les domaines de l’hygiène et de l’assainissement, pendant la même période, il a été constaté que seulement 7,1% de la population nigérienne a accès à un assainissement basique (3.7% en milieu rural </w:t>
      </w:r>
      <w:r w:rsidRPr="00250138">
        <w:rPr>
          <w:rFonts w:ascii="Times New Roman" w:hAnsi="Times New Roman" w:cs="Times New Roman"/>
          <w:color w:val="000000" w:themeColor="text1"/>
        </w:rPr>
        <w:t>et 26% en milieu urbain)</w:t>
      </w:r>
      <w:r>
        <w:rPr>
          <w:rStyle w:val="Appelnotedebasdep"/>
          <w:rFonts w:ascii="Times New Roman" w:hAnsi="Times New Roman" w:cs="Times New Roman"/>
          <w:color w:val="000000" w:themeColor="text1"/>
        </w:rPr>
        <w:footnoteReference w:id="35"/>
      </w:r>
      <w:r w:rsidRPr="00250138">
        <w:rPr>
          <w:rFonts w:ascii="Times New Roman" w:hAnsi="Times New Roman" w:cs="Times New Roman"/>
          <w:color w:val="000000" w:themeColor="text1"/>
        </w:rPr>
        <w:t>. De même</w:t>
      </w:r>
      <w:r w:rsidR="000508E1">
        <w:rPr>
          <w:rFonts w:ascii="Times New Roman" w:hAnsi="Times New Roman" w:cs="Times New Roman"/>
          <w:color w:val="000000" w:themeColor="text1"/>
        </w:rPr>
        <w:t>,</w:t>
      </w:r>
      <w:r w:rsidRPr="00250138">
        <w:rPr>
          <w:rFonts w:ascii="Times New Roman" w:hAnsi="Times New Roman" w:cs="Times New Roman"/>
          <w:color w:val="000000" w:themeColor="text1"/>
        </w:rPr>
        <w:t xml:space="preserve"> le taux de défécation à l’air libre est l’un des plus élevés de la </w:t>
      </w:r>
      <w:r w:rsidRPr="00250138">
        <w:rPr>
          <w:rFonts w:ascii="Times New Roman" w:hAnsi="Times New Roman" w:cs="Times New Roman"/>
          <w:color w:val="000000" w:themeColor="text1"/>
        </w:rPr>
        <w:lastRenderedPageBreak/>
        <w:t>sous-région ; 73.7% sur l’ensemble du pays dont 84.7% en milieu rural. Seulement 23,2% de la population utilisent des installations élémentaires de lavage des mains en milieu rural contre 41.9% en milieu urbain. 16% d’écoles ne disposent pas de points d’eau potable fonctionnels et 23% de latrines améliorées. Quant aux formations sanitaires, seulement 25% d’entre elles ont accès à l’eau potable et 73% aux services limités d’assainissement de base.</w:t>
      </w:r>
    </w:p>
    <w:p w14:paraId="19234919" w14:textId="5305AD35" w:rsidR="0028280C" w:rsidRPr="001E7106" w:rsidRDefault="0028280C" w:rsidP="0028280C">
      <w:pPr>
        <w:widowControl w:val="0"/>
        <w:pBdr>
          <w:top w:val="nil"/>
          <w:left w:val="nil"/>
          <w:bottom w:val="nil"/>
          <w:right w:val="nil"/>
          <w:between w:val="nil"/>
        </w:pBdr>
        <w:spacing w:line="240" w:lineRule="auto"/>
        <w:jc w:val="both"/>
        <w:rPr>
          <w:rFonts w:ascii="Times New Roman" w:eastAsia="Times New Roman" w:hAnsi="Times New Roman" w:cs="Times New Roman"/>
          <w:color w:val="000000" w:themeColor="text1"/>
          <w:szCs w:val="20"/>
        </w:rPr>
      </w:pPr>
      <w:r w:rsidRPr="00250138">
        <w:rPr>
          <w:rFonts w:ascii="Times New Roman" w:hAnsi="Times New Roman" w:cs="Times New Roman"/>
          <w:color w:val="000000" w:themeColor="text1"/>
        </w:rPr>
        <w:t xml:space="preserve">Même si beaucoup reste à faire pour l’atteinte des </w:t>
      </w:r>
      <w:r w:rsidR="000508E1">
        <w:rPr>
          <w:rFonts w:ascii="Times New Roman" w:hAnsi="Times New Roman" w:cs="Times New Roman"/>
          <w:color w:val="000000" w:themeColor="text1"/>
        </w:rPr>
        <w:t>cibles de l’</w:t>
      </w:r>
      <w:r w:rsidRPr="00250138">
        <w:rPr>
          <w:rFonts w:ascii="Times New Roman" w:hAnsi="Times New Roman" w:cs="Times New Roman"/>
          <w:color w:val="000000" w:themeColor="text1"/>
        </w:rPr>
        <w:t>ODD-6 conformément aux engagements pris par le Niger, il est important de souligner que des efforts considérables ont été déployés par le Gouvernement avec l’accompagnement des partenaires techniques et financiers du secteur. Ainsi le taux d’accès des ménages aux services basiques d’eau potable en milieu rural est passé de 18% e</w:t>
      </w:r>
      <w:r w:rsidR="000508E1">
        <w:rPr>
          <w:rFonts w:ascii="Times New Roman" w:hAnsi="Times New Roman" w:cs="Times New Roman"/>
          <w:color w:val="000000" w:themeColor="text1"/>
        </w:rPr>
        <w:t>n 2016 à 50,4% en 2020. D</w:t>
      </w:r>
      <w:r w:rsidRPr="00250138">
        <w:rPr>
          <w:rFonts w:ascii="Times New Roman" w:hAnsi="Times New Roman" w:cs="Times New Roman"/>
          <w:color w:val="000000" w:themeColor="text1"/>
        </w:rPr>
        <w:t>e 2019 à 2020, le taux de défécation à l’air libre a connu une baisse de 5,2 points en milieu rural</w:t>
      </w:r>
      <w:r w:rsidRPr="001E7106">
        <w:rPr>
          <w:rFonts w:ascii="Times New Roman" w:eastAsia="Times New Roman" w:hAnsi="Times New Roman" w:cs="Times New Roman"/>
          <w:color w:val="000000" w:themeColor="text1"/>
          <w:szCs w:val="20"/>
        </w:rPr>
        <w:t xml:space="preserve"> et de 2 points en milieu urbain. Ces baisses s’expliquent par la réalisation d’ouvrages d’assainissement de base, la mise en œuvre de l’approche Assainissement Total Piloté par la Communauté (ATPC) et la certification entière d’un certain nombre de communes en 2020. </w:t>
      </w:r>
    </w:p>
    <w:p w14:paraId="79B80E8F" w14:textId="77777777" w:rsidR="0028280C" w:rsidRPr="00250138" w:rsidRDefault="0028280C" w:rsidP="0028280C">
      <w:pPr>
        <w:widowControl w:val="0"/>
        <w:pBdr>
          <w:top w:val="nil"/>
          <w:left w:val="nil"/>
          <w:bottom w:val="nil"/>
          <w:right w:val="nil"/>
          <w:between w:val="nil"/>
        </w:pBdr>
        <w:spacing w:line="240" w:lineRule="auto"/>
        <w:jc w:val="both"/>
        <w:rPr>
          <w:rFonts w:ascii="Times New Roman" w:hAnsi="Times New Roman" w:cs="Times New Roman"/>
          <w:color w:val="000000" w:themeColor="text1"/>
        </w:rPr>
      </w:pPr>
      <w:r w:rsidRPr="00250138">
        <w:rPr>
          <w:rFonts w:ascii="Times New Roman" w:hAnsi="Times New Roman" w:cs="Times New Roman"/>
          <w:color w:val="000000" w:themeColor="text1"/>
        </w:rPr>
        <w:t>Le faible accès à l’eau potable et aux infrastructures d’assainissement de base et, l’adoption de mauvaises pratiques en matière d’hygiène par les populations ont un impact notable sur leurs conditions de vie. Ceci affecte la santé familiale, l’état nutritionnel des enfants et a une grande incidence chez les femmes et jeunes filles. Les enquêtes menées par l’OMS en 2019 ont révélé que le Niger a l’un des taux les plus élevé de mortalité due au manque d’accès à l’eau, l’assainissement et l’hygiène avec 70/100 000 habitants contre une moyenne de 45/100 000 habitants pour l’Afrique</w:t>
      </w:r>
      <w:r w:rsidRPr="00250138">
        <w:rPr>
          <w:rFonts w:ascii="Times New Roman" w:hAnsi="Times New Roman" w:cs="Times New Roman"/>
          <w:color w:val="000000" w:themeColor="text1"/>
        </w:rPr>
        <w:footnoteReference w:id="36"/>
      </w:r>
    </w:p>
    <w:p w14:paraId="251372EC" w14:textId="0E3AEF87" w:rsidR="0028280C" w:rsidRPr="00250138" w:rsidRDefault="0028280C" w:rsidP="0028280C">
      <w:pPr>
        <w:widowControl w:val="0"/>
        <w:pBdr>
          <w:top w:val="nil"/>
          <w:left w:val="nil"/>
          <w:bottom w:val="nil"/>
          <w:right w:val="nil"/>
          <w:between w:val="nil"/>
        </w:pBdr>
        <w:spacing w:line="240" w:lineRule="auto"/>
        <w:jc w:val="both"/>
        <w:rPr>
          <w:rFonts w:ascii="Times New Roman" w:hAnsi="Times New Roman" w:cs="Times New Roman"/>
          <w:color w:val="000000" w:themeColor="text1"/>
        </w:rPr>
      </w:pPr>
      <w:r w:rsidRPr="00250138">
        <w:rPr>
          <w:rFonts w:ascii="Times New Roman" w:hAnsi="Times New Roman" w:cs="Times New Roman"/>
          <w:color w:val="000000" w:themeColor="text1"/>
        </w:rPr>
        <w:t>Dans les zones rurales, la mortalité des enfants de moins de cinq ans et la malnutrition infantile sont étroitement liées à la consommation d’une eau insalubre, au faible accès aux ouvrages d’assainissement ou au manque d’hygiène. Selon le rapport sur les besoins humanitaires au Niger</w:t>
      </w:r>
      <w:r w:rsidR="000508E1">
        <w:rPr>
          <w:rFonts w:ascii="Times New Roman" w:hAnsi="Times New Roman" w:cs="Times New Roman"/>
          <w:color w:val="000000" w:themeColor="text1"/>
        </w:rPr>
        <w:t>,</w:t>
      </w:r>
      <w:r w:rsidRPr="00250138">
        <w:rPr>
          <w:rFonts w:ascii="Times New Roman" w:hAnsi="Times New Roman" w:cs="Times New Roman"/>
          <w:color w:val="000000" w:themeColor="text1"/>
        </w:rPr>
        <w:t xml:space="preserve"> en 2021, sur une projection de 412 010 enfants de 6 à 59 mois </w:t>
      </w:r>
      <w:r w:rsidR="000508E1">
        <w:rPr>
          <w:rFonts w:ascii="Times New Roman" w:hAnsi="Times New Roman" w:cs="Times New Roman"/>
          <w:color w:val="000000" w:themeColor="text1"/>
        </w:rPr>
        <w:t>souffrant de</w:t>
      </w:r>
      <w:r w:rsidRPr="00250138">
        <w:rPr>
          <w:rFonts w:ascii="Times New Roman" w:hAnsi="Times New Roman" w:cs="Times New Roman"/>
          <w:color w:val="000000" w:themeColor="text1"/>
        </w:rPr>
        <w:t xml:space="preserve"> la malnutrition aigüe sévère (MAS), 257 271 enfants dont 131 208 filles et 126 063 garçons auront besoin d’assistance WASH-in-Nut. Le pays fait régulièrement face à une flambée</w:t>
      </w:r>
      <w:r w:rsidR="000508E1">
        <w:rPr>
          <w:rFonts w:ascii="Times New Roman" w:hAnsi="Times New Roman" w:cs="Times New Roman"/>
          <w:color w:val="000000" w:themeColor="text1"/>
        </w:rPr>
        <w:t xml:space="preserve"> de maladies d’origine hydrique</w:t>
      </w:r>
      <w:r w:rsidRPr="00250138">
        <w:rPr>
          <w:rFonts w:ascii="Times New Roman" w:hAnsi="Times New Roman" w:cs="Times New Roman"/>
          <w:color w:val="000000" w:themeColor="text1"/>
        </w:rPr>
        <w:t xml:space="preserve"> dont les épidémies de choléra et maladies diarrhéiques qui affectent surtout les enfants</w:t>
      </w:r>
      <w:r w:rsidRPr="00250138">
        <w:rPr>
          <w:rFonts w:ascii="Times New Roman" w:hAnsi="Times New Roman" w:cs="Times New Roman"/>
          <w:color w:val="000000" w:themeColor="text1"/>
        </w:rPr>
        <w:footnoteReference w:id="37"/>
      </w:r>
      <w:r w:rsidRPr="00250138">
        <w:rPr>
          <w:rFonts w:ascii="Times New Roman" w:hAnsi="Times New Roman" w:cs="Times New Roman"/>
          <w:color w:val="000000" w:themeColor="text1"/>
        </w:rPr>
        <w:t>.</w:t>
      </w:r>
    </w:p>
    <w:p w14:paraId="5BB8FF3E" w14:textId="77777777" w:rsidR="000508E1" w:rsidRDefault="0028280C" w:rsidP="0028280C">
      <w:pPr>
        <w:widowControl w:val="0"/>
        <w:pBdr>
          <w:top w:val="nil"/>
          <w:left w:val="nil"/>
          <w:bottom w:val="nil"/>
          <w:right w:val="nil"/>
          <w:between w:val="nil"/>
        </w:pBdr>
        <w:spacing w:line="240" w:lineRule="auto"/>
        <w:jc w:val="both"/>
        <w:rPr>
          <w:rFonts w:ascii="Times New Roman" w:hAnsi="Times New Roman" w:cs="Times New Roman"/>
          <w:color w:val="000000" w:themeColor="text1"/>
        </w:rPr>
      </w:pPr>
      <w:r w:rsidRPr="00C56D46">
        <w:rPr>
          <w:rFonts w:ascii="Times New Roman" w:hAnsi="Times New Roman" w:cs="Times New Roman"/>
          <w:color w:val="000000" w:themeColor="text1"/>
        </w:rPr>
        <w:t>Enfin, la forte croissance démographique continuera à impulser la demande de services en eau, hygiène et assainissement et par conséquent à exercer de fortes pressions sur le budget de l’Etat. Les pouvoirs publics devront donc adopter des politiques et stratégies novatrices adéquates en vue de réaliser les priorités nationales et atteindre les cibles de l’ODD 6.</w:t>
      </w:r>
      <w:r>
        <w:rPr>
          <w:rFonts w:ascii="Times New Roman" w:hAnsi="Times New Roman" w:cs="Times New Roman"/>
          <w:color w:val="000000" w:themeColor="text1"/>
        </w:rPr>
        <w:t xml:space="preserve"> </w:t>
      </w:r>
    </w:p>
    <w:p w14:paraId="762C7BA8" w14:textId="6324D226" w:rsidR="0028280C" w:rsidRPr="00C56D46" w:rsidRDefault="0028280C" w:rsidP="0028280C">
      <w:pPr>
        <w:widowControl w:val="0"/>
        <w:pBdr>
          <w:top w:val="nil"/>
          <w:left w:val="nil"/>
          <w:bottom w:val="nil"/>
          <w:right w:val="nil"/>
          <w:between w:val="nil"/>
        </w:pBdr>
        <w:spacing w:line="240" w:lineRule="auto"/>
        <w:jc w:val="both"/>
        <w:rPr>
          <w:rFonts w:ascii="Times New Roman" w:hAnsi="Times New Roman" w:cs="Times New Roman"/>
          <w:color w:val="000000" w:themeColor="text1"/>
        </w:rPr>
      </w:pPr>
      <w:r w:rsidRPr="00C56D46">
        <w:rPr>
          <w:rFonts w:ascii="Times New Roman" w:hAnsi="Times New Roman" w:cs="Times New Roman"/>
          <w:color w:val="000000" w:themeColor="text1"/>
        </w:rPr>
        <w:t>Au regard de ces différentes constatations, la problématique de l’accès à l’eau, à l’hygiène et à l’assainissement tient particulièrement au faible accès à des services de qualité. Les principales causes sont la faible couverture des besoins en eau potable et assainissement de base, les mauvaises pratiques d’hygiène et le cadre de vie des populations insalubre des populations.</w:t>
      </w:r>
    </w:p>
    <w:p w14:paraId="2390D784" w14:textId="77777777" w:rsidR="0028280C" w:rsidRPr="00E25B1F" w:rsidRDefault="0028280C" w:rsidP="00E25B1F">
      <w:pPr>
        <w:pStyle w:val="Titre3"/>
        <w:rPr>
          <w:rFonts w:ascii="Bernard MT Condensed" w:hAnsi="Bernard MT Condensed"/>
        </w:rPr>
      </w:pPr>
      <w:bookmarkStart w:id="143" w:name="_Toc86345245"/>
      <w:bookmarkStart w:id="144" w:name="_Toc86687725"/>
      <w:bookmarkStart w:id="145" w:name="_Toc89479407"/>
      <w:bookmarkStart w:id="146" w:name="_Toc89480905"/>
      <w:bookmarkStart w:id="147" w:name="_Toc94480147"/>
      <w:bookmarkStart w:id="148" w:name="_Toc94481808"/>
      <w:bookmarkStart w:id="149" w:name="_Toc94482071"/>
      <w:r w:rsidRPr="00E25B1F">
        <w:rPr>
          <w:rFonts w:ascii="Bernard MT Condensed" w:hAnsi="Bernard MT Condensed"/>
        </w:rPr>
        <w:t>I.4.4 - Education et formation professionnelle</w:t>
      </w:r>
      <w:bookmarkEnd w:id="143"/>
      <w:bookmarkEnd w:id="144"/>
      <w:bookmarkEnd w:id="145"/>
      <w:bookmarkEnd w:id="146"/>
      <w:bookmarkEnd w:id="147"/>
      <w:bookmarkEnd w:id="148"/>
      <w:bookmarkEnd w:id="149"/>
    </w:p>
    <w:p w14:paraId="06A8A39F" w14:textId="7347B87B" w:rsidR="0028280C" w:rsidRDefault="0028280C" w:rsidP="0028280C">
      <w:pPr>
        <w:autoSpaceDE w:val="0"/>
        <w:autoSpaceDN w:val="0"/>
        <w:adjustRightInd w:val="0"/>
        <w:spacing w:line="240" w:lineRule="auto"/>
        <w:jc w:val="both"/>
        <w:rPr>
          <w:rFonts w:ascii="Times New Roman" w:hAnsi="Times New Roman" w:cs="Times New Roman"/>
          <w:color w:val="000000" w:themeColor="text1"/>
        </w:rPr>
      </w:pPr>
      <w:r w:rsidRPr="00BF4B16">
        <w:rPr>
          <w:rFonts w:ascii="Times New Roman" w:hAnsi="Times New Roman" w:cs="Times New Roman"/>
          <w:color w:val="000000" w:themeColor="text1"/>
        </w:rPr>
        <w:t xml:space="preserve">Dans le domaine de </w:t>
      </w:r>
      <w:r w:rsidRPr="00C56D46">
        <w:rPr>
          <w:rFonts w:ascii="Times New Roman" w:hAnsi="Times New Roman" w:cs="Times New Roman"/>
          <w:color w:val="000000" w:themeColor="text1"/>
        </w:rPr>
        <w:t>l’éducation, les</w:t>
      </w:r>
      <w:r w:rsidRPr="00BF4B16">
        <w:rPr>
          <w:rFonts w:ascii="Times New Roman" w:hAnsi="Times New Roman" w:cs="Times New Roman"/>
          <w:color w:val="000000" w:themeColor="text1"/>
        </w:rPr>
        <w:t xml:space="preserve"> populations d’âge scolaire continuent d’augmenter, réduisant davantage les efforts d’amélioration des taux de scolarisation au primaire comme au secondaire. Avec plus de 50% de la population qui a moins de 15 ans, la pression sur le système éducatif demeure très intense, au-delà du fait que les indicateurs du système éducatif – pour l’accès et la qualité – figurent parmi les plus bas du monde. L’accès et l’achèvement restent faibles à tous les niveaux du système éducatif</w:t>
      </w:r>
      <w:r w:rsidR="00E36CFD">
        <w:rPr>
          <w:rFonts w:ascii="Times New Roman" w:hAnsi="Times New Roman" w:cs="Times New Roman"/>
          <w:color w:val="000000" w:themeColor="text1"/>
        </w:rPr>
        <w:t>. En 2019, le</w:t>
      </w:r>
      <w:r w:rsidRPr="00BF4B16">
        <w:rPr>
          <w:rFonts w:ascii="Times New Roman" w:hAnsi="Times New Roman" w:cs="Times New Roman"/>
          <w:color w:val="000000" w:themeColor="text1"/>
        </w:rPr>
        <w:t xml:space="preserve"> taux d’achèvement </w:t>
      </w:r>
      <w:r w:rsidR="00E36CFD">
        <w:rPr>
          <w:rFonts w:ascii="Times New Roman" w:hAnsi="Times New Roman" w:cs="Times New Roman"/>
          <w:color w:val="000000" w:themeColor="text1"/>
        </w:rPr>
        <w:t>été estimé à</w:t>
      </w:r>
      <w:r w:rsidRPr="00BF4B16">
        <w:rPr>
          <w:rFonts w:ascii="Times New Roman" w:hAnsi="Times New Roman" w:cs="Times New Roman"/>
          <w:color w:val="000000" w:themeColor="text1"/>
        </w:rPr>
        <w:t xml:space="preserve"> 62% au primaire et 17% </w:t>
      </w:r>
      <w:r w:rsidR="00E36CFD">
        <w:rPr>
          <w:rFonts w:ascii="Times New Roman" w:hAnsi="Times New Roman" w:cs="Times New Roman"/>
          <w:color w:val="000000" w:themeColor="text1"/>
        </w:rPr>
        <w:t>au</w:t>
      </w:r>
      <w:r w:rsidRPr="00BF4B16">
        <w:rPr>
          <w:rFonts w:ascii="Times New Roman" w:hAnsi="Times New Roman" w:cs="Times New Roman"/>
          <w:color w:val="000000" w:themeColor="text1"/>
        </w:rPr>
        <w:t xml:space="preserve"> secondaire d’après les chiffres de l’Institut de Statistique de l’UNESCO. Cette situation s’explique aussi bien par un niveau d’accès encore peu élevé, que par les faibles capacités du système à limiter les abandons scolaires et le redoublement. Selon le RESEN 2018, les disparités restent très marquées au Niger.</w:t>
      </w:r>
      <w:r w:rsidRPr="00BF4B16">
        <w:rPr>
          <w:rFonts w:ascii="Times New Roman" w:hAnsi="Times New Roman" w:cs="Times New Roman"/>
          <w:color w:val="000000" w:themeColor="text1"/>
          <w:lang w:val="fr-SN"/>
        </w:rPr>
        <w:t xml:space="preserve"> </w:t>
      </w:r>
      <w:r w:rsidRPr="00BF4B16">
        <w:rPr>
          <w:rFonts w:ascii="Times New Roman" w:hAnsi="Times New Roman" w:cs="Times New Roman"/>
          <w:color w:val="000000" w:themeColor="text1"/>
        </w:rPr>
        <w:t xml:space="preserve">Ainsi, les filles, les enfants en situation de handicap, les enfants vivant en milieu rural ou ceux issus des ménages les plus pauvres sont désavantagés en termes d’accès à des services d’éducation de qualité. Les disparités </w:t>
      </w:r>
      <w:r w:rsidRPr="00BF4B16">
        <w:rPr>
          <w:rFonts w:ascii="Times New Roman" w:hAnsi="Times New Roman" w:cs="Times New Roman"/>
          <w:color w:val="000000" w:themeColor="text1"/>
        </w:rPr>
        <w:lastRenderedPageBreak/>
        <w:t>résultent aussi des fortes déperditions observées au primaire et au collège, ainsi que d’une transition entre cycles moins fluide, surtout pour l’adolescente.</w:t>
      </w:r>
    </w:p>
    <w:p w14:paraId="0E99B4E0" w14:textId="6AC771A4" w:rsidR="0028280C" w:rsidRPr="00BC14EA" w:rsidRDefault="0028280C" w:rsidP="0028280C">
      <w:pPr>
        <w:widowControl w:val="0"/>
        <w:pBdr>
          <w:top w:val="nil"/>
          <w:left w:val="nil"/>
          <w:bottom w:val="nil"/>
          <w:right w:val="nil"/>
          <w:between w:val="nil"/>
        </w:pBdr>
        <w:spacing w:line="240" w:lineRule="auto"/>
        <w:jc w:val="both"/>
        <w:rPr>
          <w:rFonts w:ascii="Times New Roman" w:eastAsia="Times New Roman" w:hAnsi="Times New Roman" w:cs="Times New Roman"/>
          <w:lang w:eastAsia="fr-FR"/>
        </w:rPr>
      </w:pPr>
      <w:r>
        <w:rPr>
          <w:rFonts w:ascii="Times New Roman" w:eastAsia="Times New Roman" w:hAnsi="Times New Roman" w:cs="Times New Roman"/>
          <w:lang w:eastAsia="fr-FR"/>
        </w:rPr>
        <w:t xml:space="preserve">A ce propos, il convient de signaler qu’il existe une </w:t>
      </w:r>
      <w:r w:rsidR="00E36CFD">
        <w:rPr>
          <w:rFonts w:ascii="Times New Roman" w:eastAsia="Times New Roman" w:hAnsi="Times New Roman" w:cs="Times New Roman"/>
          <w:lang w:eastAsia="fr-FR"/>
        </w:rPr>
        <w:t xml:space="preserve">insuffisance </w:t>
      </w:r>
      <w:r w:rsidRPr="00DF5E52">
        <w:rPr>
          <w:rFonts w:ascii="Times New Roman" w:eastAsia="Times New Roman" w:hAnsi="Times New Roman" w:cs="Times New Roman"/>
          <w:lang w:eastAsia="fr-FR"/>
        </w:rPr>
        <w:t xml:space="preserve"> des structures d’enseignement spécial distin</w:t>
      </w:r>
      <w:r>
        <w:rPr>
          <w:rFonts w:ascii="Times New Roman" w:eastAsia="Times New Roman" w:hAnsi="Times New Roman" w:cs="Times New Roman"/>
          <w:lang w:eastAsia="fr-FR"/>
        </w:rPr>
        <w:t xml:space="preserve">ct pour les enfants handicapés et un </w:t>
      </w:r>
      <w:r w:rsidRPr="00DF5E52">
        <w:rPr>
          <w:rFonts w:ascii="Times New Roman" w:eastAsia="Times New Roman" w:hAnsi="Times New Roman" w:cs="Times New Roman"/>
          <w:lang w:eastAsia="fr-FR"/>
        </w:rPr>
        <w:t>faible taux de scolarisation des enfants handicapés dans les structures</w:t>
      </w:r>
      <w:r>
        <w:rPr>
          <w:rFonts w:ascii="Times New Roman" w:eastAsia="Times New Roman" w:hAnsi="Times New Roman" w:cs="Times New Roman"/>
          <w:lang w:eastAsia="fr-FR"/>
        </w:rPr>
        <w:t xml:space="preserve"> normales. Le C</w:t>
      </w:r>
      <w:r w:rsidRPr="00401775">
        <w:rPr>
          <w:rFonts w:ascii="Times New Roman" w:eastAsia="Times New Roman" w:hAnsi="Times New Roman" w:cs="Times New Roman"/>
          <w:lang w:eastAsia="fr-FR"/>
        </w:rPr>
        <w:t>omité relatif des droits des personnes handicapées</w:t>
      </w:r>
      <w:r>
        <w:rPr>
          <w:rFonts w:ascii="Times New Roman" w:eastAsia="Times New Roman" w:hAnsi="Times New Roman" w:cs="Times New Roman"/>
          <w:lang w:eastAsia="fr-FR"/>
        </w:rPr>
        <w:t xml:space="preserve"> a constaté l</w:t>
      </w:r>
      <w:r w:rsidRPr="00DF5E52">
        <w:rPr>
          <w:rFonts w:ascii="Times New Roman" w:eastAsia="Times New Roman" w:hAnsi="Times New Roman" w:cs="Times New Roman"/>
          <w:lang w:eastAsia="fr-FR"/>
        </w:rPr>
        <w:t>’insuffisance des ressources allouées à l’éducation inclusive, le nombre insuffisant de spécialistes formés à cet égard, l’inaccessibilité des infrastructures scolaires et le manque de moyens de transport pour les élèves handicapés, en particulier en mi</w:t>
      </w:r>
      <w:r w:rsidR="00E36CFD">
        <w:rPr>
          <w:rFonts w:ascii="Times New Roman" w:eastAsia="Times New Roman" w:hAnsi="Times New Roman" w:cs="Times New Roman"/>
          <w:lang w:eastAsia="fr-FR"/>
        </w:rPr>
        <w:t>lieu rural. L</w:t>
      </w:r>
      <w:r>
        <w:rPr>
          <w:rFonts w:ascii="Times New Roman" w:eastAsia="Times New Roman" w:hAnsi="Times New Roman" w:cs="Times New Roman"/>
          <w:lang w:eastAsia="fr-FR"/>
        </w:rPr>
        <w:t xml:space="preserve">e Comité a </w:t>
      </w:r>
      <w:r w:rsidR="00E36CFD">
        <w:rPr>
          <w:rFonts w:ascii="Times New Roman" w:eastAsia="Times New Roman" w:hAnsi="Times New Roman" w:cs="Times New Roman"/>
          <w:lang w:eastAsia="fr-FR"/>
        </w:rPr>
        <w:t xml:space="preserve">également </w:t>
      </w:r>
      <w:r>
        <w:rPr>
          <w:rFonts w:ascii="Times New Roman" w:eastAsia="Times New Roman" w:hAnsi="Times New Roman" w:cs="Times New Roman"/>
          <w:lang w:eastAsia="fr-FR"/>
        </w:rPr>
        <w:t>noté l</w:t>
      </w:r>
      <w:r w:rsidRPr="00DF5E52">
        <w:rPr>
          <w:rFonts w:ascii="Times New Roman" w:eastAsia="Times New Roman" w:hAnsi="Times New Roman" w:cs="Times New Roman"/>
          <w:lang w:eastAsia="fr-FR"/>
        </w:rPr>
        <w:t>’absence de participation des personnes handicapées et des organisations qui les représentent au Programme sectoriel de l’éducation et de la formation (PSEF 2014-2024) et l’insuffisance de la sensibilisation des parents et des communautés au droit des enfants handicapés à l’éducation inclusive.</w:t>
      </w:r>
      <w:r>
        <w:rPr>
          <w:rStyle w:val="Appelnotedebasdep"/>
          <w:rFonts w:ascii="Times New Roman" w:eastAsia="Times New Roman" w:hAnsi="Times New Roman" w:cs="Times New Roman"/>
          <w:lang w:eastAsia="fr-FR"/>
        </w:rPr>
        <w:footnoteReference w:id="38"/>
      </w:r>
    </w:p>
    <w:p w14:paraId="39BCAC00" w14:textId="77777777" w:rsidR="0028280C" w:rsidRPr="00BF4B16" w:rsidRDefault="0028280C" w:rsidP="0028280C">
      <w:pPr>
        <w:autoSpaceDE w:val="0"/>
        <w:autoSpaceDN w:val="0"/>
        <w:adjustRightInd w:val="0"/>
        <w:spacing w:line="240" w:lineRule="auto"/>
        <w:jc w:val="both"/>
        <w:rPr>
          <w:rFonts w:ascii="Times New Roman" w:hAnsi="Times New Roman" w:cs="Times New Roman"/>
          <w:color w:val="000000" w:themeColor="text1"/>
        </w:rPr>
      </w:pPr>
      <w:r w:rsidRPr="00BF4B16">
        <w:rPr>
          <w:rFonts w:ascii="Times New Roman" w:hAnsi="Times New Roman" w:cs="Times New Roman"/>
          <w:color w:val="000000" w:themeColor="text1"/>
        </w:rPr>
        <w:t>En somme, au Niger, l’accès et la rétention à l’école demeurent problématiques avec le taux de scolarisation et d’achèvement au primaire qui s’élèvent respectivement à 73% (69,1% pour les filles ; 76,9 pour les garçons) et 53,9% (51,1% pour les filles ; 56,9% pour les garçons en 2020 (Synthèse de l’annuaire statistique MEP/A/PLN/EC 2019-2020). Au secondaire, la situation se détériore davantage avec un taux d’achèvement au collège de 20,4% pour les garçons et 14,4% pour les filles (18,5% pour l’ensemble). Au lycée, ce taux est de 7,3% pour l’ensemble et 5,3% pour les filles selon l’Annuaire statistique 2018-2019 du Ministèr</w:t>
      </w:r>
      <w:r>
        <w:rPr>
          <w:rFonts w:ascii="Times New Roman" w:hAnsi="Times New Roman" w:cs="Times New Roman"/>
          <w:color w:val="000000" w:themeColor="text1"/>
        </w:rPr>
        <w:t>e des Enseignements secondaires</w:t>
      </w:r>
    </w:p>
    <w:p w14:paraId="161F3F70" w14:textId="005F99D1" w:rsidR="0028280C" w:rsidRPr="00F723F4" w:rsidRDefault="0028280C" w:rsidP="0028280C">
      <w:pPr>
        <w:autoSpaceDE w:val="0"/>
        <w:autoSpaceDN w:val="0"/>
        <w:adjustRightInd w:val="0"/>
        <w:spacing w:line="240" w:lineRule="auto"/>
        <w:jc w:val="both"/>
        <w:rPr>
          <w:rFonts w:ascii="Times New Roman" w:hAnsi="Times New Roman" w:cs="Times New Roman"/>
          <w:color w:val="000000" w:themeColor="text1"/>
        </w:rPr>
      </w:pPr>
      <w:r w:rsidRPr="00F723F4">
        <w:rPr>
          <w:rFonts w:ascii="Times New Roman" w:hAnsi="Times New Roman" w:cs="Times New Roman"/>
          <w:color w:val="000000" w:themeColor="text1"/>
        </w:rPr>
        <w:t xml:space="preserve">Le système éducatif a aussi été mis à rude épreuve par les conséquences de la COVID-19, les crises humanitaires en lien avec les inondations, les épidémies, ou l’insécurité grandissante consécutive aux attaques des groupes armés non étatiques (GANE). Cette situation a eu pour conséquences, la fermeture des écoles, les déplacements des populations engendrant des situations d’éducation d’urgence et de nouveaux besoins (en termes d’infrastructures d’accueil, des enseignants, des fournitures et manuels scolaires, adaptés à la nouvelle situation) et a fait apparaitre la fracture numérique de façon très significative. </w:t>
      </w:r>
    </w:p>
    <w:p w14:paraId="47D17172" w14:textId="1C535ED2" w:rsidR="0028280C" w:rsidRPr="00F723F4" w:rsidRDefault="00E36CFD" w:rsidP="0028280C">
      <w:pPr>
        <w:autoSpaceDE w:val="0"/>
        <w:autoSpaceDN w:val="0"/>
        <w:adjustRightInd w:val="0"/>
        <w:spacing w:line="240" w:lineRule="auto"/>
        <w:jc w:val="both"/>
        <w:rPr>
          <w:rFonts w:ascii="Times New Roman" w:hAnsi="Times New Roman" w:cs="Times New Roman"/>
          <w:color w:val="000000" w:themeColor="text1"/>
        </w:rPr>
      </w:pPr>
      <w:r>
        <w:rPr>
          <w:rFonts w:ascii="Times New Roman" w:hAnsi="Times New Roman" w:cs="Times New Roman"/>
          <w:color w:val="000000" w:themeColor="text1"/>
        </w:rPr>
        <w:t>P</w:t>
      </w:r>
      <w:r w:rsidR="0028280C" w:rsidRPr="00F723F4">
        <w:rPr>
          <w:rFonts w:ascii="Times New Roman" w:hAnsi="Times New Roman" w:cs="Times New Roman"/>
          <w:color w:val="000000" w:themeColor="text1"/>
        </w:rPr>
        <w:t>lus de 2,6 millions d’enfants et adolescents âgés de 7 à 16 ans demeurent encore en dehors du système éducatif (représentant plus de 50% de cette tranche d'âge selon Étude sur les enfants et adolescent(e)s en dehors de l’école (EADE) au Niger, Rapport final, 2018). Une partie des enfants en dehors des écoles formelles fréquentent les écoles coraniques traditionnelles qui ne sont pas reconnues par les pouvoirs publics. Selon une estimation de l’UEMOA, un peu plus de 500 000 nigériens étaient inscrits dans les écoles coraniques en 2018. Des dispositifs alternatifs d’accueil pour intégrer des enfants hors du système scolaire existent, mais leurs capacités ne sont pas en rapport avec le nombre d’enfants et les profils concernés.</w:t>
      </w:r>
    </w:p>
    <w:p w14:paraId="48FA0060" w14:textId="23331A29" w:rsidR="0028280C" w:rsidRPr="00F723F4" w:rsidRDefault="0028280C" w:rsidP="0028280C">
      <w:pPr>
        <w:autoSpaceDE w:val="0"/>
        <w:autoSpaceDN w:val="0"/>
        <w:adjustRightInd w:val="0"/>
        <w:spacing w:line="240" w:lineRule="auto"/>
        <w:jc w:val="both"/>
        <w:rPr>
          <w:rFonts w:ascii="Times New Roman" w:hAnsi="Times New Roman" w:cs="Times New Roman"/>
          <w:color w:val="000000" w:themeColor="text1"/>
        </w:rPr>
      </w:pPr>
      <w:r w:rsidRPr="00F723F4">
        <w:rPr>
          <w:rFonts w:ascii="Times New Roman" w:hAnsi="Times New Roman" w:cs="Times New Roman"/>
          <w:color w:val="000000" w:themeColor="text1"/>
        </w:rPr>
        <w:t>En termes de qualité, la maitrise par les élèves des fondamentaux reste préoccupant</w:t>
      </w:r>
      <w:r w:rsidR="0004527B">
        <w:rPr>
          <w:rFonts w:ascii="Times New Roman" w:hAnsi="Times New Roman" w:cs="Times New Roman"/>
          <w:color w:val="000000" w:themeColor="text1"/>
        </w:rPr>
        <w:t>e</w:t>
      </w:r>
      <w:r w:rsidRPr="00F723F4">
        <w:rPr>
          <w:rFonts w:ascii="Times New Roman" w:hAnsi="Times New Roman" w:cs="Times New Roman"/>
          <w:color w:val="000000" w:themeColor="text1"/>
        </w:rPr>
        <w:t xml:space="preserve"> à tous les niveaux d’enseignement. </w:t>
      </w:r>
      <w:r w:rsidR="00E36CFD">
        <w:rPr>
          <w:rFonts w:ascii="Times New Roman" w:hAnsi="Times New Roman" w:cs="Times New Roman"/>
          <w:color w:val="000000" w:themeColor="text1"/>
        </w:rPr>
        <w:t>O</w:t>
      </w:r>
      <w:r w:rsidRPr="00F723F4">
        <w:rPr>
          <w:rFonts w:ascii="Times New Roman" w:hAnsi="Times New Roman" w:cs="Times New Roman"/>
          <w:color w:val="000000" w:themeColor="text1"/>
        </w:rPr>
        <w:t xml:space="preserve">n note que seulement 29,8% et 41,71% des enfants de CM2 atteignent le seuil minimum de compétence respectivement en lecture et en mathématiques (Evaluation Nationale des acquis des élèves, 2018). La Banque mondiale estime pour sa part que 90 % des enfants au Niger sont incapables de lire et comprendre un texte simple en fin de cycle primaire. Toujours selon la Banque Mondiale, les nouvelles générations de jeunes nigériens n’atteindront seulement que 32% de leur potentiel à l’âge adulte en raison des lacunes existantes notamment en matière d’éducation. Par conséquent, le fait que l’écrasante majorité d’enfants au Niger n’apprenne, constitue l’une des privations majeures dans le secteur de l’éducation au Niger. </w:t>
      </w:r>
    </w:p>
    <w:p w14:paraId="39ED342C" w14:textId="00776EA3" w:rsidR="0028280C" w:rsidRPr="00F723F4" w:rsidRDefault="0028280C" w:rsidP="0028280C">
      <w:pPr>
        <w:spacing w:line="240" w:lineRule="auto"/>
        <w:jc w:val="both"/>
        <w:rPr>
          <w:rFonts w:ascii="Times New Roman" w:hAnsi="Times New Roman" w:cs="Times New Roman"/>
          <w:color w:val="000000" w:themeColor="text1"/>
        </w:rPr>
      </w:pPr>
      <w:r w:rsidRPr="00F723F4">
        <w:rPr>
          <w:rFonts w:ascii="Times New Roman" w:hAnsi="Times New Roman" w:cs="Times New Roman"/>
          <w:color w:val="000000" w:themeColor="text1"/>
        </w:rPr>
        <w:t>Cet état des lieux de la formation des je</w:t>
      </w:r>
      <w:r w:rsidR="00E36CFD">
        <w:rPr>
          <w:rFonts w:ascii="Times New Roman" w:hAnsi="Times New Roman" w:cs="Times New Roman"/>
          <w:color w:val="000000" w:themeColor="text1"/>
        </w:rPr>
        <w:t>unes dans la société nigérienne</w:t>
      </w:r>
      <w:r w:rsidRPr="00F723F4">
        <w:rPr>
          <w:rFonts w:ascii="Times New Roman" w:hAnsi="Times New Roman" w:cs="Times New Roman"/>
          <w:color w:val="000000" w:themeColor="text1"/>
        </w:rPr>
        <w:t xml:space="preserve"> soulève la problématique de leur insertion économique en termes d’employabilité, de compétences de vie courante et autres initiatives entrepreneuriales ou d’engagement social.  Il est à noter que près de 500.000 jeunes entrent sur le marché du travail chaque année alors que l’offre demeure faible. (Etude Paroles de Jeunes, CAPEG, 2018) </w:t>
      </w:r>
    </w:p>
    <w:p w14:paraId="5F26669F" w14:textId="301EFA92" w:rsidR="0004527B" w:rsidRDefault="0028280C" w:rsidP="0004527B">
      <w:pPr>
        <w:autoSpaceDE w:val="0"/>
        <w:autoSpaceDN w:val="0"/>
        <w:adjustRightInd w:val="0"/>
        <w:spacing w:line="276" w:lineRule="auto"/>
        <w:jc w:val="both"/>
        <w:rPr>
          <w:rFonts w:ascii="Times New Roman" w:hAnsi="Times New Roman" w:cs="Times New Roman"/>
          <w:color w:val="000000" w:themeColor="text1"/>
        </w:rPr>
      </w:pPr>
      <w:r w:rsidRPr="00BC14EA">
        <w:rPr>
          <w:rFonts w:ascii="Times New Roman" w:hAnsi="Times New Roman" w:cs="Times New Roman"/>
          <w:color w:val="000000" w:themeColor="text1"/>
        </w:rPr>
        <w:lastRenderedPageBreak/>
        <w:t xml:space="preserve">La question de la gouvernance du système éducatif et de formation, notamment en termes de données pour une planification efficace, ou de responsabilité collective (notamment des enseignants, ou des parents, infrastructures, intrants pédagogiques, suivi des dépenses publiques) est également un enjeu majeur, notamment dans le cadre de la décentralisation du système éducatif. </w:t>
      </w:r>
      <w:r w:rsidR="00E36CFD">
        <w:rPr>
          <w:rFonts w:ascii="Times New Roman" w:hAnsi="Times New Roman" w:cs="Times New Roman"/>
          <w:color w:val="000000" w:themeColor="text1"/>
        </w:rPr>
        <w:t>L</w:t>
      </w:r>
      <w:r w:rsidRPr="00F723F4">
        <w:rPr>
          <w:rFonts w:ascii="Times New Roman" w:hAnsi="Times New Roman" w:cs="Times New Roman"/>
          <w:color w:val="000000" w:themeColor="text1"/>
        </w:rPr>
        <w:t>es analyses conduites sur les caractéristiques des écoles mettent ainsi en évidence la prédominance des classes en paillote (31688 au primaire et 3547 au secondaire selon les annuaires de 2019). Par ailleurs, sur les 18.276 écoles primaires, seules 943 sont électrifiées (5,1%). Le même constat est fait au secondaire 1er cycle où le pourcentage d’électrification de collèges ne dépasse guère 6.90%. (Synthèse annuaire statistique 2019-2020)</w:t>
      </w:r>
      <w:r w:rsidR="00E36CFD">
        <w:rPr>
          <w:rFonts w:ascii="Times New Roman" w:hAnsi="Times New Roman" w:cs="Times New Roman"/>
          <w:color w:val="000000" w:themeColor="text1"/>
        </w:rPr>
        <w:t>.</w:t>
      </w:r>
      <w:r w:rsidRPr="00F723F4">
        <w:rPr>
          <w:rFonts w:ascii="Times New Roman" w:hAnsi="Times New Roman" w:cs="Times New Roman"/>
          <w:color w:val="000000" w:themeColor="text1"/>
        </w:rPr>
        <w:t xml:space="preserve"> La situation dans l’ETFP est tout aussi préoccupante. En effet, parmi ces 375 établissements et centres de formation seuls 73 sont construits et équipés selon les normes et standards requis.</w:t>
      </w:r>
      <w:r w:rsidR="0004527B" w:rsidRPr="0004527B">
        <w:rPr>
          <w:rFonts w:ascii="Times New Roman" w:hAnsi="Times New Roman" w:cs="Times New Roman"/>
          <w:color w:val="000000" w:themeColor="text1"/>
        </w:rPr>
        <w:t xml:space="preserve"> </w:t>
      </w:r>
      <w:r w:rsidR="0004527B">
        <w:rPr>
          <w:rFonts w:ascii="Times New Roman" w:hAnsi="Times New Roman" w:cs="Times New Roman"/>
          <w:color w:val="000000" w:themeColor="text1"/>
        </w:rPr>
        <w:t xml:space="preserve">En plus des défis signalés plus haut, le Comité des droits économiques, sociaux et culturels a relevé les principales préoccupations suivantes : </w:t>
      </w:r>
      <w:r w:rsidR="0004527B" w:rsidRPr="002D5620">
        <w:rPr>
          <w:rFonts w:ascii="Times New Roman" w:hAnsi="Times New Roman" w:cs="Times New Roman"/>
        </w:rPr>
        <w:t>L’accès limité à l’eau et au système d’assainissement dans les écoles ;</w:t>
      </w:r>
      <w:r w:rsidR="0004527B">
        <w:rPr>
          <w:rFonts w:ascii="Times New Roman" w:hAnsi="Times New Roman" w:cs="Times New Roman"/>
        </w:rPr>
        <w:t xml:space="preserve"> </w:t>
      </w:r>
      <w:r w:rsidR="0004527B" w:rsidRPr="002D5620">
        <w:rPr>
          <w:rFonts w:ascii="Times New Roman" w:hAnsi="Times New Roman" w:cs="Times New Roman"/>
        </w:rPr>
        <w:t>Le taux élevé d’analphabétisme, principalement dans les zones rurales et en particulier p</w:t>
      </w:r>
      <w:r w:rsidR="0004527B">
        <w:rPr>
          <w:rFonts w:ascii="Times New Roman" w:hAnsi="Times New Roman" w:cs="Times New Roman"/>
        </w:rPr>
        <w:t>armi les femmes (art. 13 et 14).</w:t>
      </w:r>
    </w:p>
    <w:p w14:paraId="3B1A2C06" w14:textId="1B045CD9" w:rsidR="0028280C" w:rsidRPr="00F723F4" w:rsidRDefault="0028280C" w:rsidP="0028280C">
      <w:pPr>
        <w:spacing w:line="240" w:lineRule="auto"/>
        <w:jc w:val="both"/>
        <w:rPr>
          <w:rFonts w:ascii="Times New Roman" w:hAnsi="Times New Roman" w:cs="Times New Roman"/>
          <w:color w:val="000000" w:themeColor="text1"/>
        </w:rPr>
      </w:pPr>
      <w:r w:rsidRPr="00F723F4">
        <w:rPr>
          <w:rFonts w:ascii="Times New Roman" w:hAnsi="Times New Roman" w:cs="Times New Roman"/>
          <w:color w:val="000000" w:themeColor="text1"/>
        </w:rPr>
        <w:t>De ce qui précède, il va sans dire que la scolarisation universelle est loin d’être atteinte au Niger et que l’acquisition par les jeunes des compétences pour la vie</w:t>
      </w:r>
      <w:r w:rsidR="00E36CFD">
        <w:rPr>
          <w:rFonts w:ascii="Times New Roman" w:hAnsi="Times New Roman" w:cs="Times New Roman"/>
          <w:color w:val="000000" w:themeColor="text1"/>
        </w:rPr>
        <w:t xml:space="preserve"> et le travail est compromise. P</w:t>
      </w:r>
      <w:r w:rsidRPr="00F723F4">
        <w:rPr>
          <w:rFonts w:ascii="Times New Roman" w:hAnsi="Times New Roman" w:cs="Times New Roman"/>
          <w:color w:val="000000" w:themeColor="text1"/>
        </w:rPr>
        <w:t xml:space="preserve">ar conséquent, le niveau d’éducation de la population en âge de travailler reste bas. Du fait de la croissance exceptionnelle des effectifs scolarisés au primaire, au secondaire, mais aussi au supérieur et accompagnée d’une dégradation de la qualité de l’enseignement, le système éducatif n’arrive plus à gérer les flux massifs d’élèves, d’apprenants et d’étudiants à tous les niveaux. Le Niger consacre pourtant une part importante de son budget à l’éducation, de l’ordre de 16 à 18% entre 2011 et 2019 (selon les lois de règlements (LR) de 2015 à 2018 et la loi de finance rectificative 2019), mais essentiellement consacré aux dépenses courantes  </w:t>
      </w:r>
    </w:p>
    <w:p w14:paraId="7617AC0E" w14:textId="77777777" w:rsidR="0028280C" w:rsidRPr="00F723F4" w:rsidRDefault="0028280C" w:rsidP="0028280C">
      <w:pPr>
        <w:spacing w:line="240" w:lineRule="auto"/>
        <w:jc w:val="both"/>
        <w:rPr>
          <w:rFonts w:ascii="Times New Roman" w:hAnsi="Times New Roman" w:cs="Times New Roman"/>
          <w:color w:val="000000" w:themeColor="text1"/>
        </w:rPr>
      </w:pPr>
      <w:r w:rsidRPr="00F723F4">
        <w:rPr>
          <w:rFonts w:ascii="Times New Roman" w:hAnsi="Times New Roman" w:cs="Times New Roman"/>
          <w:color w:val="000000" w:themeColor="text1"/>
        </w:rPr>
        <w:t xml:space="preserve">Les défis liés à l’éducation et la formation qui contribuent à l’amélioration du capital humain du pays sont donc considérables. Pour atteindre la scolarisation universelle, il va falloir augmenter les taux de passage au secondaire, retrouver une qualité acceptable des enseignements avec suffisamment d’enseignants qualifiés à tous les niveaux, afin de réduire les redoublements et les abandons, éliminer les disparités de scolarisation en défaveur des filles, et consacrer davantage de moyens à l’enseignement secondaire, technique et professionnel et aux filières techniques de l’enseignement supérieur, tout en mettant en place des dispositifs permettant de mitiger les risques et vulnérabilités devenues structurelles et qui affectent le système éducatif. </w:t>
      </w:r>
    </w:p>
    <w:p w14:paraId="0530990A" w14:textId="479F6697" w:rsidR="0028280C" w:rsidRPr="00F723F4" w:rsidRDefault="0028280C" w:rsidP="0028280C">
      <w:pPr>
        <w:spacing w:line="240" w:lineRule="auto"/>
        <w:jc w:val="both"/>
        <w:rPr>
          <w:rFonts w:ascii="Times New Roman" w:hAnsi="Times New Roman" w:cs="Times New Roman"/>
          <w:color w:val="000000" w:themeColor="text1"/>
        </w:rPr>
      </w:pPr>
      <w:r w:rsidRPr="00F723F4">
        <w:rPr>
          <w:rFonts w:ascii="Times New Roman" w:hAnsi="Times New Roman" w:cs="Times New Roman"/>
          <w:color w:val="000000" w:themeColor="text1"/>
        </w:rPr>
        <w:t xml:space="preserve">Ces défis seront difficiles à relever si le nombre d’enfants, adolescents, </w:t>
      </w:r>
      <w:r w:rsidRPr="00F723F4">
        <w:rPr>
          <w:rFonts w:ascii="Times New Roman" w:hAnsi="Times New Roman" w:cs="Times New Roman"/>
          <w:color w:val="000000" w:themeColor="text1"/>
          <w:szCs w:val="24"/>
        </w:rPr>
        <w:t>jeunes</w:t>
      </w:r>
      <w:r w:rsidRPr="00F723F4">
        <w:rPr>
          <w:rFonts w:ascii="Times New Roman" w:hAnsi="Times New Roman" w:cs="Times New Roman"/>
          <w:color w:val="000000" w:themeColor="text1"/>
        </w:rPr>
        <w:t xml:space="preserve"> à scolariser et/ou </w:t>
      </w:r>
      <w:r w:rsidRPr="00F723F4">
        <w:rPr>
          <w:rFonts w:ascii="Times New Roman" w:hAnsi="Times New Roman" w:cs="Times New Roman"/>
          <w:color w:val="000000" w:themeColor="text1"/>
          <w:szCs w:val="24"/>
        </w:rPr>
        <w:t>former</w:t>
      </w:r>
      <w:r w:rsidRPr="00F723F4">
        <w:rPr>
          <w:rFonts w:ascii="Times New Roman" w:hAnsi="Times New Roman" w:cs="Times New Roman"/>
          <w:color w:val="000000" w:themeColor="text1"/>
        </w:rPr>
        <w:t xml:space="preserve"> continue d’augmenter aussi rapidement que par le passé, et si des mesures innovantes pour maintenir la fille à l’école ou doter les adolescents et jeunes des compétences y compris numériques pour accéder aux opportunités d’information et de formation tout au long de la vie, en partenariat avec le secteur privé</w:t>
      </w:r>
      <w:r w:rsidR="00AB3CCD">
        <w:rPr>
          <w:rFonts w:ascii="Times New Roman" w:hAnsi="Times New Roman" w:cs="Times New Roman"/>
          <w:color w:val="000000" w:themeColor="text1"/>
        </w:rPr>
        <w:t xml:space="preserve"> ne sont pas prises</w:t>
      </w:r>
      <w:r w:rsidRPr="00F723F4">
        <w:rPr>
          <w:rFonts w:ascii="Times New Roman" w:hAnsi="Times New Roman" w:cs="Times New Roman"/>
          <w:color w:val="000000" w:themeColor="text1"/>
        </w:rPr>
        <w:t xml:space="preserve">. </w:t>
      </w:r>
    </w:p>
    <w:p w14:paraId="1853D5D3" w14:textId="77777777" w:rsidR="004F1C8A" w:rsidRDefault="004F1C8A" w:rsidP="0028280C">
      <w:pPr>
        <w:spacing w:line="240" w:lineRule="auto"/>
        <w:jc w:val="both"/>
        <w:rPr>
          <w:rFonts w:ascii="Times New Roman" w:hAnsi="Times New Roman" w:cs="Times New Roman"/>
          <w:color w:val="000000" w:themeColor="text1"/>
        </w:rPr>
      </w:pPr>
    </w:p>
    <w:p w14:paraId="346BC32A" w14:textId="7F7C2EA9" w:rsidR="0028280C" w:rsidRPr="00F723F4" w:rsidRDefault="0028280C" w:rsidP="0028280C">
      <w:pPr>
        <w:spacing w:line="240" w:lineRule="auto"/>
        <w:jc w:val="both"/>
        <w:rPr>
          <w:rFonts w:ascii="Times New Roman" w:hAnsi="Times New Roman" w:cs="Times New Roman"/>
          <w:color w:val="000000" w:themeColor="text1"/>
        </w:rPr>
      </w:pPr>
      <w:r w:rsidRPr="00F723F4">
        <w:rPr>
          <w:rFonts w:ascii="Times New Roman" w:hAnsi="Times New Roman" w:cs="Times New Roman"/>
          <w:color w:val="000000" w:themeColor="text1"/>
        </w:rPr>
        <w:t xml:space="preserve">La question de gouvernance du système, notamment en termes de données pour une planification efficace, ou redevabilité collective (notamment enseignants, ou des parents) est aussi </w:t>
      </w:r>
      <w:r w:rsidR="00AB3CCD">
        <w:rPr>
          <w:rFonts w:ascii="Times New Roman" w:hAnsi="Times New Roman" w:cs="Times New Roman"/>
          <w:color w:val="000000" w:themeColor="text1"/>
        </w:rPr>
        <w:t>un problème majeur</w:t>
      </w:r>
      <w:r w:rsidRPr="00F723F4">
        <w:rPr>
          <w:rFonts w:ascii="Times New Roman" w:hAnsi="Times New Roman" w:cs="Times New Roman"/>
          <w:color w:val="000000" w:themeColor="text1"/>
        </w:rPr>
        <w:t xml:space="preserve"> qui </w:t>
      </w:r>
      <w:r w:rsidR="00AB3CCD">
        <w:rPr>
          <w:rFonts w:ascii="Times New Roman" w:hAnsi="Times New Roman" w:cs="Times New Roman"/>
          <w:color w:val="000000" w:themeColor="text1"/>
        </w:rPr>
        <w:t>doit être résolu</w:t>
      </w:r>
      <w:r w:rsidRPr="00F723F4">
        <w:rPr>
          <w:rFonts w:ascii="Times New Roman" w:hAnsi="Times New Roman" w:cs="Times New Roman"/>
          <w:color w:val="000000" w:themeColor="text1"/>
        </w:rPr>
        <w:t xml:space="preserve"> à travers le recrutement et </w:t>
      </w:r>
      <w:r w:rsidR="00AB3CCD">
        <w:rPr>
          <w:rFonts w:ascii="Times New Roman" w:hAnsi="Times New Roman" w:cs="Times New Roman"/>
          <w:color w:val="000000" w:themeColor="text1"/>
        </w:rPr>
        <w:t xml:space="preserve">le </w:t>
      </w:r>
      <w:r w:rsidRPr="00F723F4">
        <w:rPr>
          <w:rFonts w:ascii="Times New Roman" w:hAnsi="Times New Roman" w:cs="Times New Roman"/>
          <w:color w:val="000000" w:themeColor="text1"/>
        </w:rPr>
        <w:t>déploiement des ressources humaines compétentes et le renforcement des mécanismes de redevabilit</w:t>
      </w:r>
      <w:r w:rsidR="00AB3CCD">
        <w:rPr>
          <w:rFonts w:ascii="Times New Roman" w:hAnsi="Times New Roman" w:cs="Times New Roman"/>
          <w:color w:val="000000" w:themeColor="text1"/>
        </w:rPr>
        <w:t xml:space="preserve">é y compris citoyenne prenant en compte </w:t>
      </w:r>
      <w:r w:rsidRPr="00F723F4">
        <w:rPr>
          <w:rFonts w:ascii="Times New Roman" w:hAnsi="Times New Roman" w:cs="Times New Roman"/>
          <w:color w:val="000000" w:themeColor="text1"/>
        </w:rPr>
        <w:t xml:space="preserve"> les plus jeunes. </w:t>
      </w:r>
    </w:p>
    <w:p w14:paraId="252AF462" w14:textId="5A16FB22" w:rsidR="0028280C" w:rsidRPr="00BC14EA" w:rsidRDefault="0028280C" w:rsidP="0028280C">
      <w:pPr>
        <w:spacing w:line="240" w:lineRule="auto"/>
        <w:jc w:val="both"/>
        <w:rPr>
          <w:rFonts w:ascii="Times New Roman" w:hAnsi="Times New Roman" w:cs="Times New Roman"/>
          <w:color w:val="000000" w:themeColor="text1"/>
        </w:rPr>
      </w:pPr>
      <w:r>
        <w:rPr>
          <w:color w:val="000000" w:themeColor="text1"/>
        </w:rPr>
        <w:t xml:space="preserve"> </w:t>
      </w:r>
      <w:r w:rsidRPr="00C85231">
        <w:rPr>
          <w:rFonts w:ascii="Times New Roman" w:hAnsi="Times New Roman" w:cs="Times New Roman"/>
          <w:color w:val="000000" w:themeColor="text1"/>
          <w:lang w:val="fr-SN"/>
        </w:rPr>
        <w:t xml:space="preserve">Le système éducatif nigérien est aussi caractérisé par la présence de centres de </w:t>
      </w:r>
      <w:r w:rsidRPr="00C85231">
        <w:rPr>
          <w:rFonts w:ascii="Times New Roman" w:hAnsi="Times New Roman" w:cs="Times New Roman"/>
          <w:b/>
          <w:color w:val="000000" w:themeColor="text1"/>
          <w:lang w:val="fr-SN"/>
        </w:rPr>
        <w:t>formation technique et professionnelle</w:t>
      </w:r>
      <w:r w:rsidRPr="00C85231">
        <w:rPr>
          <w:rFonts w:ascii="Times New Roman" w:hAnsi="Times New Roman" w:cs="Times New Roman"/>
          <w:color w:val="000000" w:themeColor="text1"/>
          <w:lang w:val="fr-SN"/>
        </w:rPr>
        <w:t xml:space="preserve"> (EFTP) dont l’offre de formation demeure peu adaptée aux réalités et exigences du développement socio-économique. </w:t>
      </w:r>
      <w:r w:rsidRPr="00C85231">
        <w:rPr>
          <w:rFonts w:ascii="Times New Roman" w:hAnsi="Times New Roman" w:cs="Times New Roman"/>
          <w:color w:val="000000" w:themeColor="text1"/>
          <w:szCs w:val="20"/>
          <w:lang w:val="fr-SN"/>
        </w:rPr>
        <w:t>S</w:t>
      </w:r>
      <w:r w:rsidRPr="00C85231">
        <w:rPr>
          <w:rFonts w:ascii="Times New Roman" w:hAnsi="Times New Roman" w:cs="Times New Roman"/>
          <w:color w:val="000000" w:themeColor="text1"/>
        </w:rPr>
        <w:t xml:space="preserve">ur le plan de la demande sociale, le taux de jeunes NEET (ni en emploi, ni en éducation, ni en formation) de 15 à 24 ans, était de </w:t>
      </w:r>
      <w:r w:rsidRPr="00C85231">
        <w:rPr>
          <w:rFonts w:ascii="Times New Roman" w:hAnsi="Times New Roman" w:cs="Times New Roman"/>
          <w:color w:val="000000" w:themeColor="text1"/>
          <w:szCs w:val="24"/>
        </w:rPr>
        <w:t>56</w:t>
      </w:r>
      <w:r w:rsidRPr="00C85231">
        <w:rPr>
          <w:rFonts w:ascii="Times New Roman" w:hAnsi="Times New Roman" w:cs="Times New Roman"/>
          <w:color w:val="000000" w:themeColor="text1"/>
        </w:rPr>
        <w:t>,4 %</w:t>
      </w:r>
      <w:r w:rsidRPr="00C85231">
        <w:rPr>
          <w:rFonts w:ascii="Times New Roman" w:hAnsi="Times New Roman" w:cs="Times New Roman"/>
          <w:color w:val="000000" w:themeColor="text1"/>
          <w:szCs w:val="24"/>
        </w:rPr>
        <w:t xml:space="preserve"> </w:t>
      </w:r>
      <w:r w:rsidRPr="00C85231">
        <w:rPr>
          <w:rFonts w:ascii="Times New Roman" w:hAnsi="Times New Roman" w:cs="Times New Roman"/>
          <w:color w:val="000000" w:themeColor="text1"/>
        </w:rPr>
        <w:t xml:space="preserve">pour les hommes, 78 % pour les femmes, soit </w:t>
      </w:r>
      <w:r w:rsidRPr="00C85231">
        <w:rPr>
          <w:rFonts w:ascii="Times New Roman" w:hAnsi="Times New Roman" w:cs="Times New Roman"/>
          <w:color w:val="000000" w:themeColor="text1"/>
          <w:szCs w:val="24"/>
        </w:rPr>
        <w:t>69</w:t>
      </w:r>
      <w:r w:rsidRPr="00C85231">
        <w:rPr>
          <w:rFonts w:ascii="Times New Roman" w:hAnsi="Times New Roman" w:cs="Times New Roman"/>
          <w:color w:val="000000" w:themeColor="text1"/>
        </w:rPr>
        <w:t xml:space="preserve"> % pour l’ensemble </w:t>
      </w:r>
      <w:r w:rsidRPr="00C85231">
        <w:rPr>
          <w:rFonts w:ascii="Times New Roman" w:hAnsi="Times New Roman" w:cs="Times New Roman"/>
          <w:color w:val="000000" w:themeColor="text1"/>
          <w:szCs w:val="24"/>
        </w:rPr>
        <w:t>(</w:t>
      </w:r>
      <w:r>
        <w:rPr>
          <w:rFonts w:ascii="Times New Roman" w:hAnsi="Times New Roman" w:cs="Times New Roman"/>
          <w:color w:val="000000" w:themeColor="text1"/>
        </w:rPr>
        <w:t>INS NIGER, ERI-ESI 2017)</w:t>
      </w:r>
    </w:p>
    <w:p w14:paraId="7BEE0A12" w14:textId="15AD57C5" w:rsidR="0028280C" w:rsidRDefault="0028280C" w:rsidP="0028280C">
      <w:pPr>
        <w:spacing w:line="240" w:lineRule="auto"/>
        <w:jc w:val="both"/>
        <w:rPr>
          <w:rFonts w:ascii="Times New Roman" w:hAnsi="Times New Roman" w:cs="Times New Roman"/>
          <w:color w:val="000000" w:themeColor="text1"/>
        </w:rPr>
      </w:pPr>
      <w:r w:rsidRPr="00C85231">
        <w:rPr>
          <w:rFonts w:ascii="Times New Roman" w:hAnsi="Times New Roman" w:cs="Times New Roman"/>
          <w:color w:val="000000" w:themeColor="text1"/>
          <w:lang w:val="fr-SN"/>
        </w:rPr>
        <w:lastRenderedPageBreak/>
        <w:t>Les effectifs scolarisés dans l’EFTP formel restent plutôt faibles au regard des chiffres de l’enseignement général, et ce malgré une croissance relativement élevée.  Selon le rapport des états des lieux et perspectives de développement du sous-secteur de l’ETFP ( 2021), les effectifs ont fortement progressé en 20 ans, passant de 12 220 en 2000 à 86 252 en 2020, induite notamment par la décision prise en 2012 par le ministère de doter chacune des 266 communes d'un CFM ( Centre de Formation aux Métiers), la création en 2011 de six (6) lycées Professionnels et techniques/technologiques dans le</w:t>
      </w:r>
      <w:r w:rsidRPr="00C85231">
        <w:rPr>
          <w:rFonts w:ascii="Times New Roman" w:hAnsi="Times New Roman" w:cs="Times New Roman"/>
          <w:color w:val="000000" w:themeColor="text1"/>
        </w:rPr>
        <w:t xml:space="preserve"> cadre de la diversification des offres de formations et la création de 78 CET en 2014 pour prendre en charge les flux d'élèves issus du primaire après la suppression du CFEPD. </w:t>
      </w:r>
      <w:r w:rsidRPr="00AB3CCD">
        <w:rPr>
          <w:rFonts w:ascii="Times New Roman" w:hAnsi="Times New Roman" w:cs="Times New Roman"/>
          <w:color w:val="000000" w:themeColor="text1"/>
          <w:lang w:val="fr-SN"/>
        </w:rPr>
        <w:t>Ces chiffres montrent un intérêt de plus en plus marqué pour le développement de l’EFTP dans le système éducatif, répondant ainsi au besoin d’expansion de ce sous-secteur.  Le développement de l’ETPF est cependant compromis</w:t>
      </w:r>
      <w:r w:rsidRPr="00C85231">
        <w:rPr>
          <w:rFonts w:ascii="Times New Roman" w:hAnsi="Times New Roman" w:cs="Times New Roman"/>
          <w:color w:val="000000" w:themeColor="text1"/>
        </w:rPr>
        <w:t xml:space="preserve"> par l'insuffisance de ressources humaines, financières, infrastructurelles et matérielles. Cette situation s’explique par le fait que depuis 2015</w:t>
      </w:r>
      <w:r w:rsidR="00AB3CCD">
        <w:rPr>
          <w:rFonts w:ascii="Times New Roman" w:hAnsi="Times New Roman" w:cs="Times New Roman"/>
          <w:color w:val="000000" w:themeColor="text1"/>
        </w:rPr>
        <w:t xml:space="preserve">, </w:t>
      </w:r>
      <w:r w:rsidRPr="00C85231">
        <w:rPr>
          <w:rFonts w:ascii="Times New Roman" w:hAnsi="Times New Roman" w:cs="Times New Roman"/>
          <w:color w:val="000000" w:themeColor="text1"/>
        </w:rPr>
        <w:t>ce sous-secteur</w:t>
      </w:r>
      <w:r w:rsidR="00AB3CCD">
        <w:rPr>
          <w:rFonts w:ascii="Times New Roman" w:hAnsi="Times New Roman" w:cs="Times New Roman"/>
          <w:color w:val="000000" w:themeColor="text1"/>
        </w:rPr>
        <w:t xml:space="preserve"> n’</w:t>
      </w:r>
      <w:r w:rsidR="004F1C8A">
        <w:rPr>
          <w:rFonts w:ascii="Times New Roman" w:hAnsi="Times New Roman" w:cs="Times New Roman"/>
          <w:color w:val="000000" w:themeColor="text1"/>
        </w:rPr>
        <w:t>a bénéficié</w:t>
      </w:r>
      <w:r w:rsidR="00AB3CCD">
        <w:rPr>
          <w:rFonts w:ascii="Times New Roman" w:hAnsi="Times New Roman" w:cs="Times New Roman"/>
          <w:color w:val="000000" w:themeColor="text1"/>
        </w:rPr>
        <w:t xml:space="preserve"> d’aucune allocation budgétaire de l’Etat</w:t>
      </w:r>
      <w:r w:rsidRPr="00C85231">
        <w:rPr>
          <w:rFonts w:ascii="Times New Roman" w:hAnsi="Times New Roman" w:cs="Times New Roman"/>
          <w:color w:val="000000" w:themeColor="text1"/>
        </w:rPr>
        <w:t>. Par ailleurs, il n’existe aucune école de formation d’enseignants et formateurs d’enseignement technique et les programmes, contenus et autres supports pédagogiques sont pour la plupart obsolètes, insuffisants ou inadaptés.</w:t>
      </w:r>
    </w:p>
    <w:p w14:paraId="69746E1E" w14:textId="15DD4246" w:rsidR="00A26656" w:rsidRDefault="0028280C" w:rsidP="0028280C">
      <w:pPr>
        <w:spacing w:line="240" w:lineRule="auto"/>
        <w:jc w:val="both"/>
        <w:rPr>
          <w:rFonts w:ascii="Times New Roman" w:hAnsi="Times New Roman" w:cs="Times New Roman"/>
          <w:color w:val="000000" w:themeColor="text1"/>
        </w:rPr>
      </w:pPr>
      <w:r w:rsidRPr="00250138">
        <w:rPr>
          <w:rFonts w:ascii="Times New Roman" w:hAnsi="Times New Roman" w:cs="Times New Roman"/>
          <w:color w:val="000000" w:themeColor="text1"/>
        </w:rPr>
        <w:t xml:space="preserve">L'article 10 de la loi sur les réfugiés permet aux enfants et aux jeunes réfugiés d'accéder à l'éducation </w:t>
      </w:r>
      <w:r w:rsidR="00AB3CCD">
        <w:rPr>
          <w:rFonts w:ascii="Times New Roman" w:hAnsi="Times New Roman" w:cs="Times New Roman"/>
          <w:color w:val="000000" w:themeColor="text1"/>
        </w:rPr>
        <w:t>au même titre</w:t>
      </w:r>
      <w:r w:rsidRPr="00250138">
        <w:rPr>
          <w:rFonts w:ascii="Times New Roman" w:hAnsi="Times New Roman" w:cs="Times New Roman"/>
          <w:color w:val="000000" w:themeColor="text1"/>
        </w:rPr>
        <w:t xml:space="preserve"> que les nationaux. Le gouvernement intègre les enfants réfugiés dans les programmes d'éducation nationale depuis mars 2012. Cependant, les taux de scolarisation des enfants réfugiés sont globalement faibles (30 %) par rapport aux nationaux (69 %), principalement en raison de l'instabilité de la situation sécuritaire dans leurs zones de résidence, de leur grande mobilité, des barrières linguistiques et des normes sociales et culturelles. Les taux de scolarisation des enfants réfugiés varient de 17 à 25 % dans les zones rurales, tandis qu'à Niamey, 56 % des enfants réfugiés sont scolarisés.</w:t>
      </w:r>
    </w:p>
    <w:p w14:paraId="760556C3" w14:textId="00F01765" w:rsidR="0028280C" w:rsidRPr="00250138" w:rsidRDefault="00A26656" w:rsidP="0028280C">
      <w:pPr>
        <w:spacing w:line="240" w:lineRule="auto"/>
        <w:jc w:val="both"/>
        <w:rPr>
          <w:rFonts w:ascii="Times New Roman" w:hAnsi="Times New Roman" w:cs="Times New Roman"/>
          <w:color w:val="000000" w:themeColor="text1"/>
        </w:rPr>
      </w:pPr>
      <w:r w:rsidRPr="002D5620">
        <w:rPr>
          <w:rFonts w:ascii="Times New Roman" w:hAnsi="Times New Roman" w:cs="Times New Roman"/>
          <w:color w:val="000000" w:themeColor="text1"/>
        </w:rPr>
        <w:t xml:space="preserve">Pour </w:t>
      </w:r>
      <w:r>
        <w:rPr>
          <w:rFonts w:ascii="Times New Roman" w:hAnsi="Times New Roman" w:cs="Times New Roman"/>
          <w:color w:val="000000" w:themeColor="text1"/>
        </w:rPr>
        <w:t>a</w:t>
      </w:r>
      <w:r w:rsidRPr="002D5620">
        <w:rPr>
          <w:rFonts w:ascii="Times New Roman" w:hAnsi="Times New Roman" w:cs="Times New Roman"/>
          <w:color w:val="000000" w:themeColor="text1"/>
        </w:rPr>
        <w:t xml:space="preserve">méliorer la jouissance du droit à l’éducation, le Niger a reçu et accepté de mettre en œuvre des recommandations dont celles </w:t>
      </w:r>
      <w:r w:rsidR="00AB3CCD">
        <w:rPr>
          <w:rFonts w:ascii="Times New Roman" w:hAnsi="Times New Roman" w:cs="Times New Roman"/>
          <w:color w:val="000000" w:themeColor="text1"/>
        </w:rPr>
        <w:t xml:space="preserve">exigent l’application </w:t>
      </w:r>
      <w:r w:rsidRPr="002D5620">
        <w:rPr>
          <w:rFonts w:ascii="Times New Roman" w:hAnsi="Times New Roman" w:cs="Times New Roman"/>
        </w:rPr>
        <w:t xml:space="preserve">des mesures </w:t>
      </w:r>
      <w:r w:rsidR="00AB3CCD">
        <w:rPr>
          <w:rFonts w:ascii="Times New Roman" w:hAnsi="Times New Roman" w:cs="Times New Roman"/>
        </w:rPr>
        <w:t xml:space="preserve">visant à </w:t>
      </w:r>
      <w:r w:rsidRPr="002D5620">
        <w:rPr>
          <w:rFonts w:ascii="Times New Roman" w:hAnsi="Times New Roman" w:cs="Times New Roman"/>
        </w:rPr>
        <w:t>promouvoir l’accès gratuit à une</w:t>
      </w:r>
      <w:r w:rsidR="00AB3CCD">
        <w:rPr>
          <w:rFonts w:ascii="Times New Roman" w:hAnsi="Times New Roman" w:cs="Times New Roman"/>
        </w:rPr>
        <w:t xml:space="preserve"> éducation de qualité pour tous</w:t>
      </w:r>
      <w:r>
        <w:rPr>
          <w:rFonts w:ascii="Times New Roman" w:hAnsi="Times New Roman" w:cs="Times New Roman"/>
        </w:rPr>
        <w:t>.</w:t>
      </w:r>
      <w:r w:rsidR="0028280C" w:rsidRPr="00C85231">
        <w:rPr>
          <w:color w:val="000000" w:themeColor="text1"/>
        </w:rPr>
        <w:t xml:space="preserve"> </w:t>
      </w:r>
    </w:p>
    <w:p w14:paraId="45DE6B5A" w14:textId="77777777" w:rsidR="0028280C" w:rsidRPr="00E25B1F" w:rsidRDefault="0028280C" w:rsidP="00E25B1F">
      <w:pPr>
        <w:pStyle w:val="Titre3"/>
        <w:rPr>
          <w:rFonts w:ascii="Bernard MT Condensed" w:hAnsi="Bernard MT Condensed"/>
        </w:rPr>
      </w:pPr>
      <w:bookmarkStart w:id="150" w:name="_Toc86345246"/>
      <w:bookmarkStart w:id="151" w:name="_Toc86687726"/>
      <w:bookmarkStart w:id="152" w:name="_Toc89479408"/>
      <w:bookmarkStart w:id="153" w:name="_Toc89480906"/>
      <w:bookmarkStart w:id="154" w:name="_Toc94480148"/>
      <w:bookmarkStart w:id="155" w:name="_Toc94481809"/>
      <w:bookmarkStart w:id="156" w:name="_Toc94482072"/>
      <w:r w:rsidRPr="00E25B1F">
        <w:rPr>
          <w:rFonts w:ascii="Bernard MT Condensed" w:hAnsi="Bernard MT Condensed"/>
        </w:rPr>
        <w:t>I.4.5 - Emploi</w:t>
      </w:r>
      <w:bookmarkEnd w:id="150"/>
      <w:r w:rsidRPr="00E25B1F">
        <w:rPr>
          <w:rFonts w:ascii="Bernard MT Condensed" w:hAnsi="Bernard MT Condensed"/>
        </w:rPr>
        <w:t xml:space="preserve"> et protection sociale</w:t>
      </w:r>
      <w:bookmarkEnd w:id="151"/>
      <w:bookmarkEnd w:id="152"/>
      <w:bookmarkEnd w:id="153"/>
      <w:bookmarkEnd w:id="154"/>
      <w:bookmarkEnd w:id="155"/>
      <w:bookmarkEnd w:id="156"/>
      <w:r w:rsidRPr="00E25B1F">
        <w:rPr>
          <w:rFonts w:ascii="Bernard MT Condensed" w:hAnsi="Bernard MT Condensed"/>
        </w:rPr>
        <w:t xml:space="preserve">  </w:t>
      </w:r>
    </w:p>
    <w:p w14:paraId="00C946EC" w14:textId="15BE1BAA" w:rsidR="0028280C" w:rsidRPr="00C85231" w:rsidRDefault="0028280C" w:rsidP="0028280C">
      <w:pPr>
        <w:jc w:val="both"/>
        <w:rPr>
          <w:rFonts w:ascii="Times New Roman" w:hAnsi="Times New Roman" w:cs="Times New Roman"/>
          <w:color w:val="000000" w:themeColor="text1"/>
        </w:rPr>
      </w:pPr>
      <w:r w:rsidRPr="00C85231">
        <w:rPr>
          <w:rFonts w:ascii="Times New Roman" w:hAnsi="Times New Roman" w:cs="Times New Roman"/>
          <w:color w:val="000000" w:themeColor="text1"/>
        </w:rPr>
        <w:t>L’une des conséquences les plus lourdes engendrées par la forte croissance démographique est l’arrivée massive sur le marché de jeunes Nigériens à la recherche d'emplois décents. Pourtant, la dernière enquête relative à l’emploi au Niger indique que le taux de chômage au sens du BIT est évalué à 4,6% en 2017 (ERI-ESI, 2017)</w:t>
      </w:r>
      <w:r w:rsidRPr="00C85231">
        <w:rPr>
          <w:rStyle w:val="Appelnotedebasdep"/>
          <w:rFonts w:ascii="Times New Roman" w:hAnsi="Times New Roman" w:cs="Times New Roman"/>
          <w:color w:val="000000" w:themeColor="text1"/>
        </w:rPr>
        <w:footnoteReference w:id="39"/>
      </w:r>
      <w:r w:rsidRPr="00C85231">
        <w:rPr>
          <w:rFonts w:ascii="Times New Roman" w:hAnsi="Times New Roman" w:cs="Times New Roman"/>
          <w:color w:val="000000" w:themeColor="text1"/>
        </w:rPr>
        <w:t xml:space="preserve">, ce taux variant entre 2 (Diffa) et 6,4% (Niamey) selon les régions. Ce taux pourrait refléter l’occupation par l’activité rurale qui est quasi générale ou tenir simplement </w:t>
      </w:r>
      <w:r w:rsidR="00AB3CCD">
        <w:rPr>
          <w:rFonts w:ascii="Times New Roman" w:hAnsi="Times New Roman" w:cs="Times New Roman"/>
          <w:color w:val="000000" w:themeColor="text1"/>
        </w:rPr>
        <w:t xml:space="preserve">compte </w:t>
      </w:r>
      <w:r w:rsidRPr="00C85231">
        <w:rPr>
          <w:rFonts w:ascii="Times New Roman" w:hAnsi="Times New Roman" w:cs="Times New Roman"/>
          <w:color w:val="000000" w:themeColor="text1"/>
        </w:rPr>
        <w:t>de l’absence de dispositif formel de recherche d’emploi dans le pays. En y intégrant les individus n’ayant pas recherché un emploi sur la période considérée mais disponible pour travailler, le taux de chômage s’élèverait à 28,8% des personnes âgées de 15 ans et plus. Les régions de Maradi (5,7 vs 38%), Tillabéri, (4,8 vs 31,5%) de Zinder (7,0 vs 33,3%) et de Dosso (2,8 vs 27, 4%) seraient plus touchées par le phénomène.</w:t>
      </w:r>
    </w:p>
    <w:p w14:paraId="44B27C70" w14:textId="32EA1B5C" w:rsidR="0028280C" w:rsidRPr="00C85231" w:rsidRDefault="0028280C" w:rsidP="0028280C">
      <w:pPr>
        <w:jc w:val="both"/>
        <w:rPr>
          <w:rFonts w:ascii="Times New Roman" w:hAnsi="Times New Roman" w:cs="Times New Roman"/>
          <w:color w:val="000000" w:themeColor="text1"/>
        </w:rPr>
      </w:pPr>
      <w:r w:rsidRPr="00C85231">
        <w:rPr>
          <w:rFonts w:ascii="Times New Roman" w:hAnsi="Times New Roman" w:cs="Times New Roman"/>
          <w:color w:val="000000" w:themeColor="text1"/>
        </w:rPr>
        <w:t>Le taux combiné du sous-emploi lié au temps de travail et du chômage atteint pratiquement le tiers de la population active (29,8% dont 27,2% chez les hommes contre 35,7% chez les femmes ; ERI/ESI, 2019). Selon les normes de l’OIT, les accroissements des effectifs de nouveaux demandeurs d’emplois sont importants</w:t>
      </w:r>
      <w:sdt>
        <w:sdtPr>
          <w:rPr>
            <w:rFonts w:ascii="Times New Roman" w:hAnsi="Times New Roman" w:cs="Times New Roman"/>
            <w:color w:val="000000" w:themeColor="text1"/>
          </w:rPr>
          <w:tag w:val="goog_rdk_25"/>
          <w:id w:val="-1301988544"/>
        </w:sdtPr>
        <w:sdtContent>
          <w:r w:rsidRPr="00C85231">
            <w:rPr>
              <w:rFonts w:ascii="Times New Roman" w:hAnsi="Times New Roman" w:cs="Times New Roman"/>
              <w:color w:val="000000" w:themeColor="text1"/>
            </w:rPr>
            <w:t>,</w:t>
          </w:r>
        </w:sdtContent>
      </w:sdt>
      <w:r w:rsidRPr="00C85231">
        <w:rPr>
          <w:rFonts w:ascii="Times New Roman" w:hAnsi="Times New Roman" w:cs="Times New Roman"/>
          <w:color w:val="000000" w:themeColor="text1"/>
        </w:rPr>
        <w:t xml:space="preserve"> pass</w:t>
      </w:r>
      <w:sdt>
        <w:sdtPr>
          <w:rPr>
            <w:rFonts w:ascii="Times New Roman" w:hAnsi="Times New Roman" w:cs="Times New Roman"/>
            <w:color w:val="000000" w:themeColor="text1"/>
          </w:rPr>
          <w:tag w:val="goog_rdk_27"/>
          <w:id w:val="1312520953"/>
        </w:sdtPr>
        <w:sdtContent>
          <w:r w:rsidRPr="00C85231">
            <w:rPr>
              <w:rFonts w:ascii="Times New Roman" w:hAnsi="Times New Roman" w:cs="Times New Roman"/>
              <w:color w:val="000000" w:themeColor="text1"/>
            </w:rPr>
            <w:t>a</w:t>
          </w:r>
        </w:sdtContent>
      </w:sdt>
      <w:r w:rsidRPr="00C85231">
        <w:rPr>
          <w:rFonts w:ascii="Times New Roman" w:hAnsi="Times New Roman" w:cs="Times New Roman"/>
          <w:color w:val="000000" w:themeColor="text1"/>
        </w:rPr>
        <w:t>nt de 66 mille en 1977, 94 mille en 1988, 221 mille en 2001, 520 mille en 2012 et à plus d’un million en 2020</w:t>
      </w:r>
      <w:r w:rsidR="00AB3CCD">
        <w:rPr>
          <w:rFonts w:ascii="Times New Roman" w:hAnsi="Times New Roman" w:cs="Times New Roman"/>
          <w:color w:val="000000" w:themeColor="text1"/>
        </w:rPr>
        <w:t>. Parmi</w:t>
      </w:r>
      <w:r w:rsidRPr="00C85231">
        <w:rPr>
          <w:rFonts w:ascii="Times New Roman" w:hAnsi="Times New Roman" w:cs="Times New Roman"/>
          <w:color w:val="000000" w:themeColor="text1"/>
        </w:rPr>
        <w:t xml:space="preserve"> des chômeurs, on compte près de 7 jeunes de 15-24 ans sur dix (69% dont 56,4% d’hommes et 78% de femmes) « ni en emploi, ni en éducation, ni en formation » (ERI/ESI, 2019). Il s’agit dans la plupart des cas de jeunes en situation de vulnérabilité, appartenant à des groupes à risques qui méritent une attention particulière.</w:t>
      </w:r>
    </w:p>
    <w:p w14:paraId="0E5CB114" w14:textId="50ABAF1D" w:rsidR="0028280C" w:rsidRPr="00C85231" w:rsidRDefault="0028280C" w:rsidP="0028280C">
      <w:pPr>
        <w:spacing w:line="240" w:lineRule="auto"/>
        <w:jc w:val="both"/>
        <w:rPr>
          <w:rFonts w:ascii="Times New Roman" w:hAnsi="Times New Roman" w:cs="Times New Roman"/>
          <w:color w:val="000000" w:themeColor="text1"/>
          <w:szCs w:val="23"/>
        </w:rPr>
      </w:pPr>
      <w:r w:rsidRPr="00C85231">
        <w:rPr>
          <w:rFonts w:ascii="Times New Roman" w:hAnsi="Times New Roman" w:cs="Times New Roman"/>
          <w:color w:val="000000" w:themeColor="text1"/>
          <w:szCs w:val="23"/>
        </w:rPr>
        <w:t xml:space="preserve">L’absence d’emploi décent et la pauvreté ne permettent pas au Niger de respecter le droit des populations à la protection sociale, pourtant inscrit dans la Constitution du 25 Novembre 2010. Bien </w:t>
      </w:r>
      <w:r w:rsidRPr="00C85231">
        <w:rPr>
          <w:rFonts w:ascii="Times New Roman" w:hAnsi="Times New Roman" w:cs="Times New Roman"/>
          <w:color w:val="000000" w:themeColor="text1"/>
          <w:szCs w:val="23"/>
        </w:rPr>
        <w:lastRenderedPageBreak/>
        <w:t>que le pays figure parmi ceux qui ont une faible couverture sociale, une étude réalisée en 2019 sur la Revue des Dépenses Publiques en prot</w:t>
      </w:r>
      <w:r w:rsidR="00496A7D">
        <w:rPr>
          <w:rFonts w:ascii="Times New Roman" w:hAnsi="Times New Roman" w:cs="Times New Roman"/>
          <w:color w:val="000000" w:themeColor="text1"/>
          <w:szCs w:val="23"/>
        </w:rPr>
        <w:t>ection sociale au Niger a révélé d</w:t>
      </w:r>
      <w:r w:rsidRPr="00C85231">
        <w:rPr>
          <w:rFonts w:ascii="Times New Roman" w:hAnsi="Times New Roman" w:cs="Times New Roman"/>
          <w:color w:val="000000" w:themeColor="text1"/>
          <w:szCs w:val="23"/>
        </w:rPr>
        <w:t>es avancées significatives enregistrées dans le domaine avec un accroissement du taux de couverture de 28,75 % contre 3% dans les années antérieures. En matière d’assurance sociale, le système de couverture est faible d’où la nécessité de l’étendre à travers la mise en place du système de couverture santé universelle.</w:t>
      </w:r>
      <w:r w:rsidRPr="00BC14EA">
        <w:rPr>
          <w:rFonts w:ascii="Times New Roman" w:eastAsia="Times New Roman" w:hAnsi="Times New Roman" w:cs="Times New Roman"/>
          <w:lang w:eastAsia="fr-FR"/>
        </w:rPr>
        <w:t xml:space="preserve"> </w:t>
      </w:r>
      <w:r>
        <w:rPr>
          <w:rFonts w:ascii="Times New Roman" w:eastAsia="Times New Roman" w:hAnsi="Times New Roman" w:cs="Times New Roman"/>
          <w:lang w:eastAsia="fr-FR"/>
        </w:rPr>
        <w:t>L</w:t>
      </w:r>
      <w:r w:rsidRPr="00DF5E52">
        <w:rPr>
          <w:rFonts w:ascii="Times New Roman" w:eastAsia="Times New Roman" w:hAnsi="Times New Roman" w:cs="Times New Roman"/>
          <w:lang w:eastAsia="fr-FR"/>
        </w:rPr>
        <w:t>e budget alloué à la protection sociale des personnes handicapées, y compris les femmes</w:t>
      </w:r>
      <w:r>
        <w:rPr>
          <w:rFonts w:ascii="Times New Roman" w:eastAsia="Times New Roman" w:hAnsi="Times New Roman" w:cs="Times New Roman"/>
          <w:lang w:eastAsia="fr-FR"/>
        </w:rPr>
        <w:t xml:space="preserve"> reste limité</w:t>
      </w:r>
      <w:r w:rsidRPr="00DF5E52">
        <w:rPr>
          <w:rFonts w:ascii="Times New Roman" w:eastAsia="Times New Roman" w:hAnsi="Times New Roman" w:cs="Times New Roman"/>
          <w:lang w:eastAsia="fr-FR"/>
        </w:rPr>
        <w:t>,</w:t>
      </w:r>
      <w:r>
        <w:rPr>
          <w:rFonts w:ascii="Times New Roman" w:eastAsia="Times New Roman" w:hAnsi="Times New Roman" w:cs="Times New Roman"/>
          <w:lang w:eastAsia="fr-FR"/>
        </w:rPr>
        <w:t xml:space="preserve"> de même que l</w:t>
      </w:r>
      <w:r w:rsidRPr="00DF5E52">
        <w:rPr>
          <w:rFonts w:ascii="Times New Roman" w:eastAsia="Times New Roman" w:hAnsi="Times New Roman" w:cs="Times New Roman"/>
          <w:lang w:eastAsia="fr-FR"/>
        </w:rPr>
        <w:t>e</w:t>
      </w:r>
      <w:r>
        <w:rPr>
          <w:rFonts w:ascii="Times New Roman" w:eastAsia="Times New Roman" w:hAnsi="Times New Roman" w:cs="Times New Roman"/>
          <w:lang w:eastAsia="fr-FR"/>
        </w:rPr>
        <w:t>s</w:t>
      </w:r>
      <w:r w:rsidRPr="00DF5E52">
        <w:rPr>
          <w:rFonts w:ascii="Times New Roman" w:eastAsia="Times New Roman" w:hAnsi="Times New Roman" w:cs="Times New Roman"/>
          <w:lang w:eastAsia="fr-FR"/>
        </w:rPr>
        <w:t xml:space="preserve"> subventions publiques pour les personnes présentant un handicap </w:t>
      </w:r>
      <w:r w:rsidR="00496A7D">
        <w:rPr>
          <w:rFonts w:ascii="Times New Roman" w:eastAsia="Times New Roman" w:hAnsi="Times New Roman" w:cs="Times New Roman"/>
          <w:lang w:eastAsia="fr-FR"/>
        </w:rPr>
        <w:t xml:space="preserve">psychosocial ou intellectuel. Il n’existe pas de </w:t>
      </w:r>
      <w:r w:rsidRPr="00DF5E52">
        <w:rPr>
          <w:rFonts w:ascii="Times New Roman" w:eastAsia="Times New Roman" w:hAnsi="Times New Roman" w:cs="Times New Roman"/>
          <w:lang w:eastAsia="fr-FR"/>
        </w:rPr>
        <w:t xml:space="preserve"> programmes de réduction de la pauvreté en faveur des personnes handicapées</w:t>
      </w:r>
      <w:r w:rsidR="00496A7D">
        <w:rPr>
          <w:rFonts w:ascii="Times New Roman" w:eastAsia="Times New Roman" w:hAnsi="Times New Roman" w:cs="Times New Roman"/>
          <w:lang w:eastAsia="fr-FR"/>
        </w:rPr>
        <w:t>. L</w:t>
      </w:r>
      <w:r>
        <w:rPr>
          <w:rFonts w:ascii="Times New Roman" w:eastAsia="Times New Roman" w:hAnsi="Times New Roman" w:cs="Times New Roman"/>
          <w:lang w:eastAsia="fr-FR"/>
        </w:rPr>
        <w:t>es</w:t>
      </w:r>
      <w:r w:rsidRPr="00DF5E52">
        <w:rPr>
          <w:rFonts w:ascii="Times New Roman" w:eastAsia="Times New Roman" w:hAnsi="Times New Roman" w:cs="Times New Roman"/>
          <w:lang w:eastAsia="fr-FR"/>
        </w:rPr>
        <w:t xml:space="preserve"> personnes vivant avec l’albinisme </w:t>
      </w:r>
      <w:r>
        <w:rPr>
          <w:rFonts w:ascii="Times New Roman" w:eastAsia="Times New Roman" w:hAnsi="Times New Roman" w:cs="Times New Roman"/>
          <w:lang w:eastAsia="fr-FR"/>
        </w:rPr>
        <w:t>sont dans une situation de</w:t>
      </w:r>
      <w:r w:rsidRPr="00DF5E52">
        <w:rPr>
          <w:rFonts w:ascii="Times New Roman" w:eastAsia="Times New Roman" w:hAnsi="Times New Roman" w:cs="Times New Roman"/>
          <w:lang w:eastAsia="fr-FR"/>
        </w:rPr>
        <w:t xml:space="preserve"> pauvreté</w:t>
      </w:r>
      <w:r>
        <w:rPr>
          <w:rFonts w:ascii="Times New Roman" w:eastAsia="Times New Roman" w:hAnsi="Times New Roman" w:cs="Times New Roman"/>
          <w:lang w:eastAsia="fr-FR"/>
        </w:rPr>
        <w:t xml:space="preserve"> accrue</w:t>
      </w:r>
      <w:r w:rsidRPr="00DF5E52">
        <w:rPr>
          <w:rFonts w:ascii="Times New Roman" w:eastAsia="Times New Roman" w:hAnsi="Times New Roman" w:cs="Times New Roman"/>
          <w:lang w:eastAsia="fr-FR"/>
        </w:rPr>
        <w:t xml:space="preserve"> et n’ont pratiquement pas accès aux services sociaux de base, en particulier dans les domaines de l’éducation, de l’emploi et de la santé</w:t>
      </w:r>
      <w:r>
        <w:rPr>
          <w:rStyle w:val="Appelnotedebasdep"/>
          <w:rFonts w:ascii="Times New Roman" w:eastAsia="Times New Roman" w:hAnsi="Times New Roman" w:cs="Times New Roman"/>
          <w:lang w:eastAsia="fr-FR"/>
        </w:rPr>
        <w:footnoteReference w:id="40"/>
      </w:r>
      <w:r w:rsidRPr="00DF5E52">
        <w:rPr>
          <w:rFonts w:ascii="Times New Roman" w:eastAsia="Times New Roman" w:hAnsi="Times New Roman" w:cs="Times New Roman"/>
          <w:lang w:eastAsia="fr-FR"/>
        </w:rPr>
        <w:t>.</w:t>
      </w:r>
    </w:p>
    <w:p w14:paraId="150209C9" w14:textId="77777777" w:rsidR="0028280C" w:rsidRPr="00C85231" w:rsidRDefault="0028280C" w:rsidP="0028280C">
      <w:pPr>
        <w:spacing w:line="240" w:lineRule="auto"/>
        <w:jc w:val="both"/>
        <w:rPr>
          <w:rFonts w:ascii="Times New Roman" w:hAnsi="Times New Roman" w:cs="Times New Roman"/>
          <w:color w:val="000000" w:themeColor="text1"/>
          <w:szCs w:val="23"/>
        </w:rPr>
      </w:pPr>
      <w:r w:rsidRPr="00C85231">
        <w:rPr>
          <w:rFonts w:ascii="Times New Roman" w:hAnsi="Times New Roman" w:cs="Times New Roman"/>
          <w:color w:val="000000" w:themeColor="text1"/>
          <w:szCs w:val="23"/>
        </w:rPr>
        <w:t>Cette situation de précarité des populations s’explique par un faible accès à un emploi décent et à un système de protection sociale favorable aux groupes vulnérables. Les principales raisons sont la faible employabilité des populations, l’inadéquation des politiques d’emploi et la faiblesse du mécanisme en matière de protection sociale.</w:t>
      </w:r>
    </w:p>
    <w:p w14:paraId="0A3E1C5F" w14:textId="77777777" w:rsidR="0028280C" w:rsidRPr="00E25B1F" w:rsidRDefault="0028280C" w:rsidP="00E25B1F">
      <w:pPr>
        <w:pStyle w:val="Titre3"/>
        <w:rPr>
          <w:rFonts w:ascii="Bernard MT Condensed" w:hAnsi="Bernard MT Condensed"/>
        </w:rPr>
      </w:pPr>
      <w:bookmarkStart w:id="157" w:name="_Toc86687727"/>
      <w:bookmarkStart w:id="158" w:name="_Toc89479409"/>
      <w:bookmarkStart w:id="159" w:name="_Toc89480907"/>
      <w:bookmarkStart w:id="160" w:name="_Toc94480149"/>
      <w:bookmarkStart w:id="161" w:name="_Toc94481810"/>
      <w:bookmarkStart w:id="162" w:name="_Toc94482073"/>
      <w:bookmarkStart w:id="163" w:name="_Toc86345249"/>
      <w:r w:rsidRPr="00E25B1F">
        <w:rPr>
          <w:rFonts w:ascii="Bernard MT Condensed" w:hAnsi="Bernard MT Condensed"/>
        </w:rPr>
        <w:t>I.4.6 - Développement social</w:t>
      </w:r>
      <w:bookmarkEnd w:id="157"/>
      <w:bookmarkEnd w:id="158"/>
      <w:bookmarkEnd w:id="159"/>
      <w:bookmarkEnd w:id="160"/>
      <w:bookmarkEnd w:id="161"/>
      <w:bookmarkEnd w:id="162"/>
      <w:r w:rsidRPr="00E25B1F">
        <w:rPr>
          <w:rFonts w:ascii="Bernard MT Condensed" w:hAnsi="Bernard MT Condensed"/>
        </w:rPr>
        <w:t xml:space="preserve"> </w:t>
      </w:r>
      <w:bookmarkEnd w:id="163"/>
    </w:p>
    <w:p w14:paraId="0BD30C68" w14:textId="5EF501F2" w:rsidR="0028280C" w:rsidRPr="008A6225" w:rsidRDefault="0028280C" w:rsidP="0028280C">
      <w:pPr>
        <w:jc w:val="both"/>
        <w:rPr>
          <w:rFonts w:ascii="Times New Roman" w:hAnsi="Times New Roman" w:cs="Times New Roman"/>
        </w:rPr>
      </w:pPr>
      <w:r w:rsidRPr="00A632D2">
        <w:rPr>
          <w:rFonts w:ascii="Times New Roman" w:hAnsi="Times New Roman" w:cs="Times New Roman"/>
        </w:rPr>
        <w:t xml:space="preserve">La situation en matière de développement humain n’est pas sans lien avec les niveaux d’accès des populations aux services sociaux de base et à un emploi décent, mais également </w:t>
      </w:r>
      <w:r w:rsidR="00496A7D">
        <w:rPr>
          <w:rFonts w:ascii="Times New Roman" w:hAnsi="Times New Roman" w:cs="Times New Roman"/>
        </w:rPr>
        <w:t xml:space="preserve">avec les </w:t>
      </w:r>
      <w:r w:rsidRPr="00A632D2">
        <w:rPr>
          <w:rFonts w:ascii="Times New Roman" w:hAnsi="Times New Roman" w:cs="Times New Roman"/>
        </w:rPr>
        <w:t xml:space="preserve">inégalités sociales observées dans le pays.  Au Niger, le niveau de l’indice de développement humain (IDH) interpelle chaque année les autorités publiques sur la nécessité de renforcer les efforts en matière de développement des compétences dans le pays. La SDDCI vise un objectif de 0.506 en 2035. Au début de l'introduction du Niger dans le calcul de cet indicateur (en 1990), le pays </w:t>
      </w:r>
      <w:r w:rsidR="00496A7D">
        <w:rPr>
          <w:rFonts w:ascii="Times New Roman" w:hAnsi="Times New Roman" w:cs="Times New Roman"/>
        </w:rPr>
        <w:t>affichait un score égal à 0,220</w:t>
      </w:r>
      <w:r w:rsidRPr="00A632D2">
        <w:rPr>
          <w:rFonts w:ascii="Times New Roman" w:hAnsi="Times New Roman" w:cs="Times New Roman"/>
        </w:rPr>
        <w:t xml:space="preserve"> loin des 0, 0,547 enregistré en moyenne en Afrique subsaharienne.  En 2019, le Niger </w:t>
      </w:r>
      <w:r w:rsidR="00496A7D">
        <w:rPr>
          <w:rFonts w:ascii="Times New Roman" w:hAnsi="Times New Roman" w:cs="Times New Roman"/>
        </w:rPr>
        <w:t xml:space="preserve">a affiché </w:t>
      </w:r>
      <w:r w:rsidRPr="00A632D2">
        <w:rPr>
          <w:rFonts w:ascii="Times New Roman" w:hAnsi="Times New Roman" w:cs="Times New Roman"/>
        </w:rPr>
        <w:t xml:space="preserve">un indice de 0,394. Le taux de croissance annuel moyen de cet indicateur entre 1990 et 2019 a été moins rapide au Niger (2,03%), comparé au Mali (2,15%), au Mozambique (2,43%) et, surtout, au Rwanda (2,74%), trois pays ayant débuté en 1990 avec un niveau équivalent à celui du Niger. </w:t>
      </w:r>
    </w:p>
    <w:p w14:paraId="3A8FA57C" w14:textId="77777777" w:rsidR="0028280C" w:rsidRDefault="0028280C" w:rsidP="0028280C">
      <w:pPr>
        <w:pStyle w:val="Lgende"/>
      </w:pPr>
    </w:p>
    <w:p w14:paraId="33CC4643" w14:textId="77777777" w:rsidR="0028280C" w:rsidRPr="00A632D2" w:rsidRDefault="0028280C" w:rsidP="0028280C">
      <w:pPr>
        <w:pStyle w:val="Lgende"/>
        <w:rPr>
          <w:rFonts w:ascii="Times New Roman" w:hAnsi="Times New Roman"/>
          <w:lang w:eastAsia="fr-FR"/>
        </w:rPr>
      </w:pPr>
      <w:r w:rsidRPr="00A632D2">
        <w:rPr>
          <w:rFonts w:ascii="Times New Roman" w:hAnsi="Times New Roman"/>
        </w:rPr>
        <w:t xml:space="preserve">Tableau </w:t>
      </w:r>
      <w:r w:rsidRPr="00A632D2">
        <w:rPr>
          <w:rFonts w:ascii="Times New Roman" w:hAnsi="Times New Roman"/>
        </w:rPr>
        <w:fldChar w:fldCharType="begin"/>
      </w:r>
      <w:r w:rsidRPr="00A632D2">
        <w:rPr>
          <w:rFonts w:ascii="Times New Roman" w:hAnsi="Times New Roman"/>
        </w:rPr>
        <w:instrText xml:space="preserve"> SEQ Tableau \* ARABIC </w:instrText>
      </w:r>
      <w:r w:rsidRPr="00A632D2">
        <w:rPr>
          <w:rFonts w:ascii="Times New Roman" w:hAnsi="Times New Roman"/>
        </w:rPr>
        <w:fldChar w:fldCharType="separate"/>
      </w:r>
      <w:r>
        <w:rPr>
          <w:rFonts w:ascii="Times New Roman" w:hAnsi="Times New Roman"/>
          <w:noProof/>
        </w:rPr>
        <w:t>1</w:t>
      </w:r>
      <w:r w:rsidRPr="00A632D2">
        <w:rPr>
          <w:rFonts w:ascii="Times New Roman" w:hAnsi="Times New Roman"/>
          <w:noProof/>
        </w:rPr>
        <w:fldChar w:fldCharType="end"/>
      </w:r>
      <w:r w:rsidRPr="00A632D2">
        <w:rPr>
          <w:rFonts w:ascii="Times New Roman" w:hAnsi="Times New Roman"/>
        </w:rPr>
        <w:t xml:space="preserve"> : </w:t>
      </w:r>
      <w:r w:rsidRPr="00A632D2">
        <w:rPr>
          <w:rFonts w:ascii="Times New Roman" w:hAnsi="Times New Roman"/>
          <w:lang w:eastAsia="fr-FR"/>
        </w:rPr>
        <w:t>Evolution de l’IDH au Niger entre 1990 et 2019</w:t>
      </w:r>
    </w:p>
    <w:tbl>
      <w:tblPr>
        <w:tblW w:w="9200" w:type="dxa"/>
        <w:tblLook w:val="04A0" w:firstRow="1" w:lastRow="0" w:firstColumn="1" w:lastColumn="0" w:noHBand="0" w:noVBand="1"/>
      </w:tblPr>
      <w:tblGrid>
        <w:gridCol w:w="3681"/>
        <w:gridCol w:w="1262"/>
        <w:gridCol w:w="1419"/>
        <w:gridCol w:w="1419"/>
        <w:gridCol w:w="1419"/>
      </w:tblGrid>
      <w:tr w:rsidR="0028280C" w:rsidRPr="00A632D2" w14:paraId="0FE72098" w14:textId="77777777" w:rsidTr="00E43F48">
        <w:trPr>
          <w:trHeight w:val="495"/>
          <w:tblHeader/>
        </w:trPr>
        <w:tc>
          <w:tcPr>
            <w:tcW w:w="3681" w:type="dxa"/>
            <w:hideMark/>
          </w:tcPr>
          <w:p w14:paraId="3EB0455E" w14:textId="77777777" w:rsidR="0028280C" w:rsidRPr="00A632D2" w:rsidRDefault="0028280C" w:rsidP="00E43F48">
            <w:pPr>
              <w:jc w:val="both"/>
              <w:rPr>
                <w:rFonts w:ascii="Times New Roman" w:eastAsia="Times New Roman" w:hAnsi="Times New Roman" w:cs="Times New Roman"/>
                <w:color w:val="000000"/>
                <w:sz w:val="18"/>
                <w:szCs w:val="18"/>
              </w:rPr>
            </w:pPr>
          </w:p>
        </w:tc>
        <w:tc>
          <w:tcPr>
            <w:tcW w:w="1262" w:type="dxa"/>
            <w:hideMark/>
          </w:tcPr>
          <w:p w14:paraId="0B61F680" w14:textId="77777777" w:rsidR="0028280C" w:rsidRPr="00A632D2" w:rsidRDefault="0028280C" w:rsidP="00E43F48">
            <w:pPr>
              <w:jc w:val="center"/>
              <w:rPr>
                <w:rFonts w:ascii="Times New Roman" w:hAnsi="Times New Roman" w:cs="Times New Roman"/>
                <w:b/>
                <w:bCs/>
                <w:color w:val="000000"/>
                <w:sz w:val="18"/>
                <w:szCs w:val="18"/>
              </w:rPr>
            </w:pPr>
            <w:r w:rsidRPr="00A632D2">
              <w:rPr>
                <w:rFonts w:ascii="Times New Roman" w:hAnsi="Times New Roman" w:cs="Times New Roman"/>
                <w:b/>
                <w:bCs/>
                <w:color w:val="000000"/>
                <w:sz w:val="18"/>
                <w:szCs w:val="18"/>
              </w:rPr>
              <w:t>Niger</w:t>
            </w:r>
          </w:p>
        </w:tc>
        <w:tc>
          <w:tcPr>
            <w:tcW w:w="1419" w:type="dxa"/>
            <w:hideMark/>
          </w:tcPr>
          <w:p w14:paraId="483A4DB0" w14:textId="77777777" w:rsidR="0028280C" w:rsidRPr="00A632D2" w:rsidRDefault="0028280C" w:rsidP="00E43F48">
            <w:pPr>
              <w:jc w:val="center"/>
              <w:rPr>
                <w:rFonts w:ascii="Times New Roman" w:hAnsi="Times New Roman" w:cs="Times New Roman"/>
                <w:b/>
                <w:bCs/>
                <w:color w:val="000000"/>
                <w:sz w:val="18"/>
                <w:szCs w:val="18"/>
              </w:rPr>
            </w:pPr>
            <w:r w:rsidRPr="00A632D2">
              <w:rPr>
                <w:rFonts w:ascii="Times New Roman" w:hAnsi="Times New Roman" w:cs="Times New Roman"/>
                <w:b/>
                <w:bCs/>
                <w:color w:val="000000"/>
                <w:sz w:val="18"/>
                <w:szCs w:val="18"/>
              </w:rPr>
              <w:t>Pays en développement</w:t>
            </w:r>
          </w:p>
        </w:tc>
        <w:tc>
          <w:tcPr>
            <w:tcW w:w="1419" w:type="dxa"/>
            <w:hideMark/>
          </w:tcPr>
          <w:p w14:paraId="7FC333D2" w14:textId="77777777" w:rsidR="0028280C" w:rsidRPr="00A632D2" w:rsidRDefault="0028280C" w:rsidP="00E43F48">
            <w:pPr>
              <w:jc w:val="center"/>
              <w:rPr>
                <w:rFonts w:ascii="Times New Roman" w:hAnsi="Times New Roman" w:cs="Times New Roman"/>
                <w:b/>
                <w:bCs/>
                <w:color w:val="000000"/>
                <w:sz w:val="18"/>
                <w:szCs w:val="18"/>
              </w:rPr>
            </w:pPr>
            <w:r w:rsidRPr="00A632D2">
              <w:rPr>
                <w:rFonts w:ascii="Times New Roman" w:hAnsi="Times New Roman" w:cs="Times New Roman"/>
                <w:b/>
                <w:bCs/>
                <w:color w:val="000000"/>
                <w:sz w:val="18"/>
                <w:szCs w:val="18"/>
              </w:rPr>
              <w:t>Afrique  subsaharienne</w:t>
            </w:r>
          </w:p>
        </w:tc>
        <w:tc>
          <w:tcPr>
            <w:tcW w:w="1419" w:type="dxa"/>
            <w:hideMark/>
          </w:tcPr>
          <w:p w14:paraId="7EA80C27" w14:textId="77777777" w:rsidR="0028280C" w:rsidRPr="00A632D2" w:rsidRDefault="0028280C" w:rsidP="00E43F48">
            <w:pPr>
              <w:jc w:val="center"/>
              <w:rPr>
                <w:rFonts w:ascii="Times New Roman" w:hAnsi="Times New Roman" w:cs="Times New Roman"/>
                <w:b/>
                <w:bCs/>
                <w:color w:val="000000"/>
                <w:sz w:val="18"/>
                <w:szCs w:val="18"/>
              </w:rPr>
            </w:pPr>
            <w:r w:rsidRPr="00A632D2">
              <w:rPr>
                <w:rFonts w:ascii="Times New Roman" w:hAnsi="Times New Roman" w:cs="Times New Roman"/>
                <w:b/>
                <w:bCs/>
                <w:color w:val="000000"/>
                <w:sz w:val="18"/>
                <w:szCs w:val="18"/>
              </w:rPr>
              <w:t xml:space="preserve">Monde  </w:t>
            </w:r>
          </w:p>
        </w:tc>
      </w:tr>
      <w:tr w:rsidR="0028280C" w:rsidRPr="00A632D2" w14:paraId="584F6FBA" w14:textId="77777777" w:rsidTr="00E43F48">
        <w:trPr>
          <w:trHeight w:val="300"/>
        </w:trPr>
        <w:tc>
          <w:tcPr>
            <w:tcW w:w="3681" w:type="dxa"/>
            <w:hideMark/>
          </w:tcPr>
          <w:p w14:paraId="30DA1467" w14:textId="77777777" w:rsidR="0028280C" w:rsidRPr="00A632D2" w:rsidRDefault="0028280C" w:rsidP="00E43F48">
            <w:pPr>
              <w:jc w:val="both"/>
              <w:rPr>
                <w:rFonts w:ascii="Times New Roman" w:hAnsi="Times New Roman" w:cs="Times New Roman"/>
                <w:b/>
                <w:bCs/>
                <w:color w:val="000000"/>
                <w:sz w:val="18"/>
                <w:szCs w:val="18"/>
              </w:rPr>
            </w:pPr>
            <w:r w:rsidRPr="00A632D2">
              <w:rPr>
                <w:rFonts w:ascii="Times New Roman" w:hAnsi="Times New Roman" w:cs="Times New Roman"/>
                <w:b/>
                <w:bCs/>
                <w:color w:val="000000"/>
                <w:sz w:val="18"/>
                <w:szCs w:val="18"/>
              </w:rPr>
              <w:t>IDH 1990</w:t>
            </w:r>
          </w:p>
        </w:tc>
        <w:tc>
          <w:tcPr>
            <w:tcW w:w="1262" w:type="dxa"/>
            <w:hideMark/>
          </w:tcPr>
          <w:p w14:paraId="394D7B33"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0,220</w:t>
            </w:r>
          </w:p>
        </w:tc>
        <w:tc>
          <w:tcPr>
            <w:tcW w:w="1419" w:type="dxa"/>
            <w:hideMark/>
          </w:tcPr>
          <w:p w14:paraId="6C7C2DD0"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0,35</w:t>
            </w:r>
          </w:p>
        </w:tc>
        <w:tc>
          <w:tcPr>
            <w:tcW w:w="1419" w:type="dxa"/>
            <w:hideMark/>
          </w:tcPr>
          <w:p w14:paraId="72F6800B"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0,402</w:t>
            </w:r>
          </w:p>
        </w:tc>
        <w:tc>
          <w:tcPr>
            <w:tcW w:w="1419" w:type="dxa"/>
            <w:hideMark/>
          </w:tcPr>
          <w:p w14:paraId="759B0D05"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0,598</w:t>
            </w:r>
          </w:p>
        </w:tc>
      </w:tr>
      <w:tr w:rsidR="0028280C" w:rsidRPr="00A632D2" w14:paraId="6A7A79A2" w14:textId="77777777" w:rsidTr="00E43F48">
        <w:trPr>
          <w:trHeight w:val="300"/>
        </w:trPr>
        <w:tc>
          <w:tcPr>
            <w:tcW w:w="3681" w:type="dxa"/>
          </w:tcPr>
          <w:p w14:paraId="7A7E1699" w14:textId="77777777" w:rsidR="0028280C" w:rsidRPr="00A632D2" w:rsidRDefault="0028280C" w:rsidP="00E43F48">
            <w:pPr>
              <w:jc w:val="both"/>
              <w:rPr>
                <w:rFonts w:ascii="Times New Roman" w:hAnsi="Times New Roman" w:cs="Times New Roman"/>
                <w:b/>
                <w:bCs/>
                <w:color w:val="000000"/>
                <w:sz w:val="18"/>
                <w:szCs w:val="18"/>
              </w:rPr>
            </w:pPr>
            <w:r w:rsidRPr="00A632D2">
              <w:rPr>
                <w:rFonts w:ascii="Times New Roman" w:hAnsi="Times New Roman" w:cs="Times New Roman"/>
                <w:b/>
                <w:bCs/>
                <w:color w:val="000000"/>
                <w:sz w:val="18"/>
                <w:szCs w:val="18"/>
              </w:rPr>
              <w:t>Indice de développement (IDH) 2019</w:t>
            </w:r>
          </w:p>
        </w:tc>
        <w:tc>
          <w:tcPr>
            <w:tcW w:w="1262" w:type="dxa"/>
          </w:tcPr>
          <w:p w14:paraId="5235D83A"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0,394</w:t>
            </w:r>
          </w:p>
        </w:tc>
        <w:tc>
          <w:tcPr>
            <w:tcW w:w="1419" w:type="dxa"/>
          </w:tcPr>
          <w:p w14:paraId="76B51198"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0,689</w:t>
            </w:r>
          </w:p>
        </w:tc>
        <w:tc>
          <w:tcPr>
            <w:tcW w:w="1419" w:type="dxa"/>
          </w:tcPr>
          <w:p w14:paraId="1B70DCF9"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0,547</w:t>
            </w:r>
          </w:p>
        </w:tc>
        <w:tc>
          <w:tcPr>
            <w:tcW w:w="1419" w:type="dxa"/>
          </w:tcPr>
          <w:p w14:paraId="53D9ED89"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0,737</w:t>
            </w:r>
          </w:p>
        </w:tc>
      </w:tr>
      <w:tr w:rsidR="0028280C" w:rsidRPr="00A632D2" w14:paraId="5865FF79" w14:textId="77777777" w:rsidTr="00E43F48">
        <w:trPr>
          <w:trHeight w:val="300"/>
        </w:trPr>
        <w:tc>
          <w:tcPr>
            <w:tcW w:w="3681" w:type="dxa"/>
          </w:tcPr>
          <w:p w14:paraId="77992606" w14:textId="77777777" w:rsidR="0028280C" w:rsidRPr="00A632D2" w:rsidRDefault="0028280C" w:rsidP="00E43F48">
            <w:pPr>
              <w:ind w:left="708"/>
              <w:jc w:val="both"/>
              <w:rPr>
                <w:rFonts w:ascii="Times New Roman" w:hAnsi="Times New Roman" w:cs="Times New Roman"/>
                <w:b/>
                <w:bCs/>
                <w:color w:val="000000"/>
                <w:sz w:val="18"/>
                <w:szCs w:val="18"/>
              </w:rPr>
            </w:pPr>
            <w:r w:rsidRPr="00A632D2">
              <w:rPr>
                <w:rFonts w:ascii="Times New Roman" w:hAnsi="Times New Roman" w:cs="Times New Roman"/>
                <w:b/>
                <w:bCs/>
                <w:color w:val="000000"/>
                <w:sz w:val="18"/>
                <w:szCs w:val="18"/>
              </w:rPr>
              <w:t>IDH Homme</w:t>
            </w:r>
          </w:p>
        </w:tc>
        <w:tc>
          <w:tcPr>
            <w:tcW w:w="1262" w:type="dxa"/>
          </w:tcPr>
          <w:p w14:paraId="49549CC8"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0,443</w:t>
            </w:r>
          </w:p>
        </w:tc>
        <w:tc>
          <w:tcPr>
            <w:tcW w:w="1419" w:type="dxa"/>
          </w:tcPr>
          <w:p w14:paraId="4E0F6E03"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0,717</w:t>
            </w:r>
          </w:p>
        </w:tc>
        <w:tc>
          <w:tcPr>
            <w:tcW w:w="1419" w:type="dxa"/>
          </w:tcPr>
          <w:p w14:paraId="40FC3C43"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0,577</w:t>
            </w:r>
          </w:p>
        </w:tc>
        <w:tc>
          <w:tcPr>
            <w:tcW w:w="1419" w:type="dxa"/>
          </w:tcPr>
          <w:p w14:paraId="27A0A1A5"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0,757</w:t>
            </w:r>
          </w:p>
        </w:tc>
      </w:tr>
      <w:tr w:rsidR="0028280C" w:rsidRPr="00A632D2" w14:paraId="439BC819" w14:textId="77777777" w:rsidTr="00E43F48">
        <w:trPr>
          <w:trHeight w:val="300"/>
        </w:trPr>
        <w:tc>
          <w:tcPr>
            <w:tcW w:w="3681" w:type="dxa"/>
          </w:tcPr>
          <w:p w14:paraId="5C069833" w14:textId="77777777" w:rsidR="0028280C" w:rsidRPr="00A632D2" w:rsidRDefault="0028280C" w:rsidP="00E43F48">
            <w:pPr>
              <w:ind w:left="708"/>
              <w:jc w:val="both"/>
              <w:rPr>
                <w:rFonts w:ascii="Times New Roman" w:hAnsi="Times New Roman" w:cs="Times New Roman"/>
                <w:b/>
                <w:bCs/>
                <w:color w:val="000000"/>
                <w:sz w:val="18"/>
                <w:szCs w:val="18"/>
              </w:rPr>
            </w:pPr>
            <w:r w:rsidRPr="00A632D2">
              <w:rPr>
                <w:rFonts w:ascii="Times New Roman" w:hAnsi="Times New Roman" w:cs="Times New Roman"/>
                <w:b/>
                <w:bCs/>
                <w:color w:val="000000"/>
                <w:sz w:val="18"/>
                <w:szCs w:val="18"/>
              </w:rPr>
              <w:t>IDH Femme</w:t>
            </w:r>
          </w:p>
        </w:tc>
        <w:tc>
          <w:tcPr>
            <w:tcW w:w="1262" w:type="dxa"/>
          </w:tcPr>
          <w:p w14:paraId="0409D52A"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0,321</w:t>
            </w:r>
          </w:p>
        </w:tc>
        <w:tc>
          <w:tcPr>
            <w:tcW w:w="1419" w:type="dxa"/>
          </w:tcPr>
          <w:p w14:paraId="084370AC"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0,659</w:t>
            </w:r>
          </w:p>
        </w:tc>
        <w:tc>
          <w:tcPr>
            <w:tcW w:w="1419" w:type="dxa"/>
          </w:tcPr>
          <w:p w14:paraId="1E4623BE"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0,516</w:t>
            </w:r>
          </w:p>
        </w:tc>
        <w:tc>
          <w:tcPr>
            <w:tcW w:w="1419" w:type="dxa"/>
          </w:tcPr>
          <w:p w14:paraId="03D5FEC7"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0,714</w:t>
            </w:r>
          </w:p>
        </w:tc>
      </w:tr>
      <w:tr w:rsidR="0028280C" w:rsidRPr="00A632D2" w14:paraId="25FFF6A9" w14:textId="77777777" w:rsidTr="00E43F48">
        <w:trPr>
          <w:trHeight w:val="300"/>
        </w:trPr>
        <w:tc>
          <w:tcPr>
            <w:tcW w:w="3681" w:type="dxa"/>
            <w:hideMark/>
          </w:tcPr>
          <w:p w14:paraId="4A583C93" w14:textId="77777777" w:rsidR="0028280C" w:rsidRPr="00A632D2" w:rsidRDefault="0028280C" w:rsidP="00E43F48">
            <w:pPr>
              <w:jc w:val="both"/>
              <w:rPr>
                <w:rFonts w:ascii="Times New Roman" w:hAnsi="Times New Roman" w:cs="Times New Roman"/>
                <w:color w:val="000000"/>
                <w:sz w:val="18"/>
                <w:szCs w:val="18"/>
              </w:rPr>
            </w:pPr>
            <w:r w:rsidRPr="00A632D2">
              <w:rPr>
                <w:rFonts w:ascii="Times New Roman" w:hAnsi="Times New Roman" w:cs="Times New Roman"/>
                <w:b/>
                <w:bCs/>
                <w:color w:val="000000"/>
                <w:sz w:val="18"/>
                <w:szCs w:val="18"/>
              </w:rPr>
              <w:t>IDH ajusté aux inégalités 2019</w:t>
            </w:r>
          </w:p>
        </w:tc>
        <w:tc>
          <w:tcPr>
            <w:tcW w:w="1262" w:type="dxa"/>
            <w:hideMark/>
          </w:tcPr>
          <w:p w14:paraId="3618B6E8"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0,284</w:t>
            </w:r>
          </w:p>
        </w:tc>
        <w:tc>
          <w:tcPr>
            <w:tcW w:w="1419" w:type="dxa"/>
            <w:hideMark/>
          </w:tcPr>
          <w:p w14:paraId="6D2DC483"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0,535</w:t>
            </w:r>
          </w:p>
        </w:tc>
        <w:tc>
          <w:tcPr>
            <w:tcW w:w="1419" w:type="dxa"/>
            <w:hideMark/>
          </w:tcPr>
          <w:p w14:paraId="0FD8B474"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0,380</w:t>
            </w:r>
          </w:p>
        </w:tc>
        <w:tc>
          <w:tcPr>
            <w:tcW w:w="1419" w:type="dxa"/>
            <w:hideMark/>
          </w:tcPr>
          <w:p w14:paraId="078F781F"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0,587</w:t>
            </w:r>
          </w:p>
        </w:tc>
      </w:tr>
      <w:tr w:rsidR="0028280C" w:rsidRPr="00A632D2" w14:paraId="6D49D0CB" w14:textId="77777777" w:rsidTr="00E43F48">
        <w:trPr>
          <w:trHeight w:val="300"/>
        </w:trPr>
        <w:tc>
          <w:tcPr>
            <w:tcW w:w="3681" w:type="dxa"/>
            <w:hideMark/>
          </w:tcPr>
          <w:p w14:paraId="67A66A1D" w14:textId="77777777" w:rsidR="0028280C" w:rsidRPr="00A632D2" w:rsidRDefault="0028280C" w:rsidP="00E43F48">
            <w:pPr>
              <w:jc w:val="both"/>
              <w:rPr>
                <w:rFonts w:ascii="Times New Roman" w:hAnsi="Times New Roman" w:cs="Times New Roman"/>
                <w:b/>
                <w:color w:val="000000"/>
                <w:sz w:val="18"/>
                <w:szCs w:val="18"/>
              </w:rPr>
            </w:pPr>
            <w:r w:rsidRPr="00A632D2">
              <w:rPr>
                <w:rFonts w:ascii="Times New Roman" w:hAnsi="Times New Roman" w:cs="Times New Roman"/>
                <w:b/>
                <w:color w:val="000000"/>
                <w:sz w:val="18"/>
                <w:szCs w:val="18"/>
              </w:rPr>
              <w:t>Perte de valeur de l’IDH liée aux inégalités  2019</w:t>
            </w:r>
          </w:p>
        </w:tc>
        <w:tc>
          <w:tcPr>
            <w:tcW w:w="1262" w:type="dxa"/>
            <w:hideMark/>
          </w:tcPr>
          <w:p w14:paraId="7641C7A1" w14:textId="77777777" w:rsidR="0028280C" w:rsidRPr="00A632D2" w:rsidRDefault="0028280C" w:rsidP="00E43F48">
            <w:pPr>
              <w:jc w:val="center"/>
              <w:rPr>
                <w:rFonts w:ascii="Times New Roman" w:hAnsi="Times New Roman" w:cs="Times New Roman"/>
                <w:b/>
                <w:color w:val="000000"/>
                <w:sz w:val="18"/>
                <w:szCs w:val="18"/>
              </w:rPr>
            </w:pPr>
            <w:r w:rsidRPr="00A632D2">
              <w:rPr>
                <w:rFonts w:ascii="Times New Roman" w:hAnsi="Times New Roman" w:cs="Times New Roman"/>
                <w:b/>
                <w:color w:val="000000"/>
                <w:sz w:val="18"/>
                <w:szCs w:val="18"/>
              </w:rPr>
              <w:t>-27,9%</w:t>
            </w:r>
          </w:p>
        </w:tc>
        <w:tc>
          <w:tcPr>
            <w:tcW w:w="1419" w:type="dxa"/>
            <w:hideMark/>
          </w:tcPr>
          <w:p w14:paraId="5494574F" w14:textId="77777777" w:rsidR="0028280C" w:rsidRPr="00A632D2" w:rsidRDefault="0028280C" w:rsidP="00E43F48">
            <w:pPr>
              <w:jc w:val="center"/>
              <w:rPr>
                <w:rFonts w:ascii="Times New Roman" w:hAnsi="Times New Roman" w:cs="Times New Roman"/>
                <w:b/>
                <w:color w:val="000000"/>
                <w:sz w:val="18"/>
                <w:szCs w:val="18"/>
              </w:rPr>
            </w:pPr>
            <w:r w:rsidRPr="00A632D2">
              <w:rPr>
                <w:rFonts w:ascii="Times New Roman" w:hAnsi="Times New Roman" w:cs="Times New Roman"/>
                <w:b/>
                <w:color w:val="000000"/>
                <w:sz w:val="18"/>
                <w:szCs w:val="18"/>
              </w:rPr>
              <w:t>-22,4%</w:t>
            </w:r>
          </w:p>
        </w:tc>
        <w:tc>
          <w:tcPr>
            <w:tcW w:w="1419" w:type="dxa"/>
            <w:hideMark/>
          </w:tcPr>
          <w:p w14:paraId="59E65A39" w14:textId="77777777" w:rsidR="0028280C" w:rsidRPr="00A632D2" w:rsidRDefault="0028280C" w:rsidP="00E43F48">
            <w:pPr>
              <w:jc w:val="center"/>
              <w:rPr>
                <w:rFonts w:ascii="Times New Roman" w:hAnsi="Times New Roman" w:cs="Times New Roman"/>
                <w:b/>
                <w:color w:val="000000"/>
                <w:sz w:val="18"/>
                <w:szCs w:val="18"/>
              </w:rPr>
            </w:pPr>
            <w:r w:rsidRPr="00A632D2">
              <w:rPr>
                <w:rFonts w:ascii="Times New Roman" w:hAnsi="Times New Roman" w:cs="Times New Roman"/>
                <w:b/>
                <w:color w:val="000000"/>
                <w:sz w:val="18"/>
                <w:szCs w:val="18"/>
              </w:rPr>
              <w:t>-30,5%</w:t>
            </w:r>
          </w:p>
        </w:tc>
        <w:tc>
          <w:tcPr>
            <w:tcW w:w="1419" w:type="dxa"/>
            <w:hideMark/>
          </w:tcPr>
          <w:p w14:paraId="75202574" w14:textId="77777777" w:rsidR="0028280C" w:rsidRPr="00A632D2" w:rsidRDefault="0028280C" w:rsidP="00E43F48">
            <w:pPr>
              <w:jc w:val="center"/>
              <w:rPr>
                <w:rFonts w:ascii="Times New Roman" w:hAnsi="Times New Roman" w:cs="Times New Roman"/>
                <w:b/>
                <w:color w:val="000000"/>
                <w:sz w:val="18"/>
                <w:szCs w:val="18"/>
              </w:rPr>
            </w:pPr>
            <w:r w:rsidRPr="00A632D2">
              <w:rPr>
                <w:rFonts w:ascii="Times New Roman" w:hAnsi="Times New Roman" w:cs="Times New Roman"/>
                <w:b/>
                <w:color w:val="000000"/>
                <w:sz w:val="18"/>
                <w:szCs w:val="18"/>
              </w:rPr>
              <w:t>-20,4%</w:t>
            </w:r>
          </w:p>
        </w:tc>
      </w:tr>
      <w:tr w:rsidR="0028280C" w:rsidRPr="00A632D2" w14:paraId="36C0A0CF" w14:textId="77777777" w:rsidTr="00E43F48">
        <w:trPr>
          <w:trHeight w:val="300"/>
        </w:trPr>
        <w:tc>
          <w:tcPr>
            <w:tcW w:w="3681" w:type="dxa"/>
            <w:hideMark/>
          </w:tcPr>
          <w:p w14:paraId="43DBED1D" w14:textId="77777777" w:rsidR="0028280C" w:rsidRPr="00A632D2" w:rsidRDefault="0028280C" w:rsidP="00E43F48">
            <w:pPr>
              <w:jc w:val="both"/>
              <w:rPr>
                <w:rFonts w:ascii="Times New Roman" w:hAnsi="Times New Roman" w:cs="Times New Roman"/>
                <w:b/>
                <w:color w:val="000000"/>
                <w:sz w:val="18"/>
                <w:szCs w:val="18"/>
              </w:rPr>
            </w:pPr>
            <w:r w:rsidRPr="00A632D2">
              <w:rPr>
                <w:rFonts w:ascii="Times New Roman" w:hAnsi="Times New Roman" w:cs="Times New Roman"/>
                <w:b/>
                <w:color w:val="000000"/>
                <w:sz w:val="18"/>
                <w:szCs w:val="18"/>
              </w:rPr>
              <w:t xml:space="preserve">Taux de croissance moyen de l’IDH 1990-2000 </w:t>
            </w:r>
          </w:p>
        </w:tc>
        <w:tc>
          <w:tcPr>
            <w:tcW w:w="1262" w:type="dxa"/>
            <w:hideMark/>
          </w:tcPr>
          <w:p w14:paraId="672444A1"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1,76%</w:t>
            </w:r>
          </w:p>
        </w:tc>
        <w:tc>
          <w:tcPr>
            <w:tcW w:w="1419" w:type="dxa"/>
            <w:hideMark/>
          </w:tcPr>
          <w:p w14:paraId="7569BF2F"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1,32%</w:t>
            </w:r>
          </w:p>
        </w:tc>
        <w:tc>
          <w:tcPr>
            <w:tcW w:w="1419" w:type="dxa"/>
            <w:hideMark/>
          </w:tcPr>
          <w:p w14:paraId="74D86116"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0,51%</w:t>
            </w:r>
          </w:p>
        </w:tc>
        <w:tc>
          <w:tcPr>
            <w:tcW w:w="1419" w:type="dxa"/>
            <w:hideMark/>
          </w:tcPr>
          <w:p w14:paraId="2C11824D"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0,70%</w:t>
            </w:r>
          </w:p>
        </w:tc>
      </w:tr>
      <w:tr w:rsidR="0028280C" w:rsidRPr="00A632D2" w14:paraId="7D2977E2" w14:textId="77777777" w:rsidTr="00E43F48">
        <w:trPr>
          <w:trHeight w:val="300"/>
        </w:trPr>
        <w:tc>
          <w:tcPr>
            <w:tcW w:w="3681" w:type="dxa"/>
            <w:hideMark/>
          </w:tcPr>
          <w:p w14:paraId="16E60110" w14:textId="77777777" w:rsidR="0028280C" w:rsidRPr="00A632D2" w:rsidRDefault="0028280C" w:rsidP="00E43F48">
            <w:pPr>
              <w:jc w:val="both"/>
              <w:rPr>
                <w:rFonts w:ascii="Times New Roman" w:hAnsi="Times New Roman" w:cs="Times New Roman"/>
                <w:b/>
                <w:color w:val="000000"/>
                <w:sz w:val="18"/>
                <w:szCs w:val="18"/>
              </w:rPr>
            </w:pPr>
            <w:r w:rsidRPr="00A632D2">
              <w:rPr>
                <w:rFonts w:ascii="Times New Roman" w:hAnsi="Times New Roman" w:cs="Times New Roman"/>
                <w:b/>
                <w:color w:val="000000"/>
                <w:sz w:val="18"/>
                <w:szCs w:val="18"/>
              </w:rPr>
              <w:t xml:space="preserve">Taux de croissance moyen de l’IDH 2000-2010 </w:t>
            </w:r>
          </w:p>
        </w:tc>
        <w:tc>
          <w:tcPr>
            <w:tcW w:w="1262" w:type="dxa"/>
            <w:hideMark/>
          </w:tcPr>
          <w:p w14:paraId="10C390D1"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2,37%</w:t>
            </w:r>
          </w:p>
        </w:tc>
        <w:tc>
          <w:tcPr>
            <w:tcW w:w="1419" w:type="dxa"/>
            <w:hideMark/>
          </w:tcPr>
          <w:p w14:paraId="399758C6"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1,97%</w:t>
            </w:r>
          </w:p>
        </w:tc>
        <w:tc>
          <w:tcPr>
            <w:tcW w:w="1419" w:type="dxa"/>
            <w:hideMark/>
          </w:tcPr>
          <w:p w14:paraId="7E357C44"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1,65%</w:t>
            </w:r>
          </w:p>
        </w:tc>
        <w:tc>
          <w:tcPr>
            <w:tcW w:w="1419" w:type="dxa"/>
            <w:hideMark/>
          </w:tcPr>
          <w:p w14:paraId="64ED42D3"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0,84%</w:t>
            </w:r>
          </w:p>
        </w:tc>
      </w:tr>
      <w:tr w:rsidR="0028280C" w:rsidRPr="00A632D2" w14:paraId="20735069" w14:textId="77777777" w:rsidTr="00E43F48">
        <w:trPr>
          <w:trHeight w:val="315"/>
        </w:trPr>
        <w:tc>
          <w:tcPr>
            <w:tcW w:w="3681" w:type="dxa"/>
            <w:hideMark/>
          </w:tcPr>
          <w:p w14:paraId="3AE91422" w14:textId="77777777" w:rsidR="0028280C" w:rsidRPr="00A632D2" w:rsidRDefault="0028280C" w:rsidP="00E43F48">
            <w:pPr>
              <w:jc w:val="both"/>
              <w:rPr>
                <w:rFonts w:ascii="Times New Roman" w:hAnsi="Times New Roman" w:cs="Times New Roman"/>
                <w:b/>
                <w:color w:val="000000"/>
                <w:sz w:val="18"/>
                <w:szCs w:val="18"/>
              </w:rPr>
            </w:pPr>
            <w:r w:rsidRPr="00A632D2">
              <w:rPr>
                <w:rFonts w:ascii="Times New Roman" w:hAnsi="Times New Roman" w:cs="Times New Roman"/>
                <w:b/>
                <w:color w:val="000000"/>
                <w:sz w:val="18"/>
                <w:szCs w:val="18"/>
              </w:rPr>
              <w:t>Taux de croissance moyen de l’IDH 2010-2019</w:t>
            </w:r>
          </w:p>
        </w:tc>
        <w:tc>
          <w:tcPr>
            <w:tcW w:w="1262" w:type="dxa"/>
            <w:hideMark/>
          </w:tcPr>
          <w:p w14:paraId="1AB64015"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1,95%</w:t>
            </w:r>
          </w:p>
        </w:tc>
        <w:tc>
          <w:tcPr>
            <w:tcW w:w="1419" w:type="dxa"/>
            <w:hideMark/>
          </w:tcPr>
          <w:p w14:paraId="5CC53666"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1,16%</w:t>
            </w:r>
          </w:p>
        </w:tc>
        <w:tc>
          <w:tcPr>
            <w:tcW w:w="1419" w:type="dxa"/>
            <w:hideMark/>
          </w:tcPr>
          <w:p w14:paraId="14C4DFEB"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1,05%</w:t>
            </w:r>
          </w:p>
        </w:tc>
        <w:tc>
          <w:tcPr>
            <w:tcW w:w="1419" w:type="dxa"/>
            <w:hideMark/>
          </w:tcPr>
          <w:p w14:paraId="5FCEED52"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0,62%</w:t>
            </w:r>
          </w:p>
        </w:tc>
      </w:tr>
      <w:tr w:rsidR="0028280C" w:rsidRPr="00A632D2" w14:paraId="5E1C32F0" w14:textId="77777777" w:rsidTr="00E43F48">
        <w:trPr>
          <w:trHeight w:val="315"/>
        </w:trPr>
        <w:tc>
          <w:tcPr>
            <w:tcW w:w="3681" w:type="dxa"/>
          </w:tcPr>
          <w:p w14:paraId="02E09C06" w14:textId="77777777" w:rsidR="0028280C" w:rsidRPr="00A632D2" w:rsidRDefault="0028280C" w:rsidP="00E43F48">
            <w:pPr>
              <w:jc w:val="both"/>
              <w:rPr>
                <w:rFonts w:ascii="Times New Roman" w:hAnsi="Times New Roman" w:cs="Times New Roman"/>
                <w:b/>
                <w:color w:val="000000"/>
                <w:sz w:val="18"/>
                <w:szCs w:val="18"/>
              </w:rPr>
            </w:pPr>
            <w:r w:rsidRPr="00A632D2">
              <w:rPr>
                <w:rFonts w:ascii="Times New Roman" w:hAnsi="Times New Roman" w:cs="Times New Roman"/>
                <w:b/>
                <w:color w:val="000000"/>
                <w:sz w:val="18"/>
                <w:szCs w:val="18"/>
              </w:rPr>
              <w:lastRenderedPageBreak/>
              <w:t>Taux de croissance moyen de l’IDH 1990-2019</w:t>
            </w:r>
          </w:p>
        </w:tc>
        <w:tc>
          <w:tcPr>
            <w:tcW w:w="1262" w:type="dxa"/>
            <w:vAlign w:val="center"/>
          </w:tcPr>
          <w:p w14:paraId="7DCE376A" w14:textId="77777777" w:rsidR="0028280C" w:rsidRPr="00A632D2" w:rsidRDefault="0028280C" w:rsidP="00E43F48">
            <w:pPr>
              <w:jc w:val="center"/>
              <w:rPr>
                <w:rFonts w:ascii="Times New Roman" w:eastAsia="Times New Roman" w:hAnsi="Times New Roman" w:cs="Times New Roman"/>
                <w:color w:val="000000"/>
                <w:sz w:val="18"/>
                <w:szCs w:val="18"/>
              </w:rPr>
            </w:pPr>
            <w:r w:rsidRPr="00A632D2">
              <w:rPr>
                <w:rFonts w:ascii="Times New Roman" w:hAnsi="Times New Roman" w:cs="Times New Roman"/>
                <w:color w:val="000000"/>
                <w:sz w:val="18"/>
                <w:szCs w:val="18"/>
              </w:rPr>
              <w:t>2,03%</w:t>
            </w:r>
          </w:p>
        </w:tc>
        <w:tc>
          <w:tcPr>
            <w:tcW w:w="1419" w:type="dxa"/>
            <w:vAlign w:val="center"/>
          </w:tcPr>
          <w:p w14:paraId="6B30E846"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1,49%</w:t>
            </w:r>
          </w:p>
        </w:tc>
        <w:tc>
          <w:tcPr>
            <w:tcW w:w="1419" w:type="dxa"/>
            <w:vAlign w:val="center"/>
          </w:tcPr>
          <w:p w14:paraId="4E4BC5A2"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1,07%</w:t>
            </w:r>
          </w:p>
        </w:tc>
        <w:tc>
          <w:tcPr>
            <w:tcW w:w="1419" w:type="dxa"/>
            <w:vAlign w:val="center"/>
          </w:tcPr>
          <w:p w14:paraId="4BE9A999" w14:textId="77777777" w:rsidR="0028280C" w:rsidRPr="00A632D2" w:rsidRDefault="0028280C" w:rsidP="00E43F48">
            <w:pPr>
              <w:jc w:val="center"/>
              <w:rPr>
                <w:rFonts w:ascii="Times New Roman" w:hAnsi="Times New Roman" w:cs="Times New Roman"/>
                <w:color w:val="000000"/>
                <w:sz w:val="18"/>
                <w:szCs w:val="18"/>
              </w:rPr>
            </w:pPr>
            <w:r w:rsidRPr="00A632D2">
              <w:rPr>
                <w:rFonts w:ascii="Times New Roman" w:hAnsi="Times New Roman" w:cs="Times New Roman"/>
                <w:color w:val="000000"/>
                <w:sz w:val="18"/>
                <w:szCs w:val="18"/>
              </w:rPr>
              <w:t>0,72%</w:t>
            </w:r>
          </w:p>
        </w:tc>
      </w:tr>
    </w:tbl>
    <w:p w14:paraId="79F07BAA" w14:textId="07E0A36A" w:rsidR="00496A7D" w:rsidRPr="00F5173D" w:rsidRDefault="0028280C" w:rsidP="00F5173D">
      <w:pPr>
        <w:rPr>
          <w:rFonts w:ascii="Times New Roman" w:hAnsi="Times New Roman" w:cs="Times New Roman"/>
          <w:sz w:val="18"/>
          <w:lang w:val="en-GB" w:eastAsia="fr-FR"/>
        </w:rPr>
      </w:pPr>
      <w:r w:rsidRPr="00A632D2">
        <w:rPr>
          <w:rFonts w:ascii="Times New Roman" w:hAnsi="Times New Roman" w:cs="Times New Roman"/>
          <w:sz w:val="18"/>
          <w:lang w:val="en-GB" w:eastAsia="fr-FR"/>
        </w:rPr>
        <w:t>Source: HDRO calculations based on data from UNDESA (2019a), UNESCO Institute for Statistics (2020), United Nations Statistics Division (2020b), World Bank (2020a), Barro</w:t>
      </w:r>
      <w:r>
        <w:rPr>
          <w:rFonts w:ascii="Times New Roman" w:hAnsi="Times New Roman" w:cs="Times New Roman"/>
          <w:sz w:val="18"/>
          <w:lang w:val="en-GB" w:eastAsia="fr-FR"/>
        </w:rPr>
        <w:t xml:space="preserve"> and Lee (2018) and IMF (2020).</w:t>
      </w:r>
    </w:p>
    <w:p w14:paraId="41412629" w14:textId="77777777" w:rsidR="0028280C" w:rsidRPr="008A6225" w:rsidRDefault="0028280C" w:rsidP="0028280C">
      <w:pPr>
        <w:widowControl w:val="0"/>
        <w:pBdr>
          <w:top w:val="nil"/>
          <w:left w:val="nil"/>
          <w:bottom w:val="nil"/>
          <w:right w:val="nil"/>
          <w:between w:val="nil"/>
        </w:pBdr>
        <w:jc w:val="both"/>
        <w:rPr>
          <w:rFonts w:ascii="Times New Roman" w:eastAsia="Times New Roman" w:hAnsi="Times New Roman" w:cs="Times New Roman"/>
          <w:color w:val="000000" w:themeColor="text1"/>
          <w:szCs w:val="20"/>
          <w:lang w:eastAsia="fr-FR"/>
        </w:rPr>
      </w:pPr>
      <w:r w:rsidRPr="008A6225">
        <w:rPr>
          <w:rFonts w:ascii="Times New Roman" w:hAnsi="Times New Roman" w:cs="Times New Roman"/>
          <w:color w:val="000000" w:themeColor="text1"/>
          <w:szCs w:val="20"/>
        </w:rPr>
        <w:t>L’Indice de Développement Humain ajusté aux Inégalités (IDHI</w:t>
      </w:r>
      <w:r w:rsidRPr="008A6225">
        <w:rPr>
          <w:rFonts w:ascii="Times New Roman" w:eastAsia="Times New Roman" w:hAnsi="Times New Roman" w:cs="Times New Roman"/>
          <w:b/>
          <w:i/>
          <w:color w:val="000000" w:themeColor="text1"/>
          <w:szCs w:val="20"/>
          <w:lang w:eastAsia="fr-FR"/>
        </w:rPr>
        <w:t>)</w:t>
      </w:r>
      <w:r w:rsidRPr="008A6225">
        <w:rPr>
          <w:rFonts w:ascii="Times New Roman" w:eastAsia="Times New Roman" w:hAnsi="Times New Roman" w:cs="Times New Roman"/>
          <w:b/>
          <w:i/>
          <w:color w:val="000000" w:themeColor="text1"/>
          <w:szCs w:val="20"/>
          <w:vertAlign w:val="superscript"/>
          <w:lang w:eastAsia="fr-FR"/>
        </w:rPr>
        <w:footnoteReference w:id="41"/>
      </w:r>
      <w:r w:rsidRPr="008A6225">
        <w:rPr>
          <w:rFonts w:ascii="Times New Roman" w:eastAsia="Times New Roman" w:hAnsi="Times New Roman" w:cs="Times New Roman"/>
          <w:b/>
          <w:i/>
          <w:color w:val="000000" w:themeColor="text1"/>
          <w:szCs w:val="20"/>
          <w:lang w:eastAsia="fr-FR"/>
        </w:rPr>
        <w:t xml:space="preserve"> </w:t>
      </w:r>
      <w:r w:rsidRPr="008A6225">
        <w:rPr>
          <w:rFonts w:ascii="Times New Roman" w:eastAsia="Times New Roman" w:hAnsi="Times New Roman" w:cs="Times New Roman"/>
          <w:color w:val="000000" w:themeColor="text1"/>
          <w:szCs w:val="20"/>
          <w:lang w:eastAsia="fr-FR"/>
        </w:rPr>
        <w:t>qui tient compte des inégalités de revenus (IDHI) s’établit à 0,284 en 2019 (185</w:t>
      </w:r>
      <w:r w:rsidRPr="008A6225">
        <w:rPr>
          <w:rFonts w:ascii="Times New Roman" w:eastAsia="Times New Roman" w:hAnsi="Times New Roman" w:cs="Times New Roman"/>
          <w:color w:val="000000" w:themeColor="text1"/>
          <w:szCs w:val="20"/>
          <w:vertAlign w:val="superscript"/>
          <w:lang w:eastAsia="fr-FR"/>
        </w:rPr>
        <w:t>e</w:t>
      </w:r>
      <w:r w:rsidRPr="008A6225">
        <w:rPr>
          <w:rFonts w:ascii="Times New Roman" w:eastAsia="Times New Roman" w:hAnsi="Times New Roman" w:cs="Times New Roman"/>
          <w:color w:val="000000" w:themeColor="text1"/>
          <w:szCs w:val="20"/>
          <w:lang w:eastAsia="fr-FR"/>
        </w:rPr>
        <w:t xml:space="preserve"> rang sur 189 pays) contre 0,394 pour celui de l’IDH. Cette baisse de 27,9% s’explique par l’inégalité dans l’éducation (35,0 %), la santé (30,9%) et, dans une moindre mesure, celle liée aux revenus (16,4 %). La régression subie par le Niger est plus forte que celle observée au niveau mondial (-20,4%) mais reste en deçà du niveau de l’Afrique subsaharienne (-30,5%).</w:t>
      </w:r>
    </w:p>
    <w:p w14:paraId="7B61BB59" w14:textId="3B7DABEF" w:rsidR="0028280C" w:rsidRPr="00944577" w:rsidRDefault="0028280C" w:rsidP="0028280C">
      <w:pPr>
        <w:widowControl w:val="0"/>
        <w:pBdr>
          <w:top w:val="nil"/>
          <w:left w:val="nil"/>
          <w:bottom w:val="nil"/>
          <w:right w:val="nil"/>
          <w:between w:val="nil"/>
        </w:pBdr>
        <w:jc w:val="both"/>
        <w:rPr>
          <w:rFonts w:ascii="Times New Roman" w:eastAsia="Times New Roman" w:hAnsi="Times New Roman" w:cs="Times New Roman"/>
          <w:color w:val="000000" w:themeColor="text1"/>
          <w:szCs w:val="20"/>
          <w:lang w:eastAsia="fr-FR"/>
        </w:rPr>
      </w:pPr>
      <w:r w:rsidRPr="008A6225">
        <w:rPr>
          <w:rFonts w:ascii="Times New Roman" w:hAnsi="Times New Roman" w:cs="Times New Roman"/>
        </w:rPr>
        <w:t xml:space="preserve">Avec un IDH des femmes de 0,321 et celui des hommes qui s’établit à 0,443, l’indice </w:t>
      </w:r>
      <w:r w:rsidR="004F1C8A">
        <w:rPr>
          <w:rFonts w:ascii="Times New Roman" w:hAnsi="Times New Roman" w:cs="Times New Roman"/>
        </w:rPr>
        <w:t xml:space="preserve">de développement </w:t>
      </w:r>
      <w:r w:rsidRPr="008A6225">
        <w:rPr>
          <w:rFonts w:ascii="Times New Roman" w:hAnsi="Times New Roman" w:cs="Times New Roman"/>
        </w:rPr>
        <w:t xml:space="preserve"> de genre (IDG)</w:t>
      </w:r>
      <w:r w:rsidRPr="008A6225">
        <w:rPr>
          <w:rStyle w:val="Appelnotedebasdep"/>
          <w:rFonts w:ascii="Times New Roman" w:hAnsi="Times New Roman" w:cs="Times New Roman"/>
        </w:rPr>
        <w:footnoteReference w:id="42"/>
      </w:r>
      <w:r w:rsidRPr="008A6225">
        <w:rPr>
          <w:rFonts w:ascii="Times New Roman" w:hAnsi="Times New Roman" w:cs="Times New Roman"/>
        </w:rPr>
        <w:t xml:space="preserve"> est estimé à 0.724 au Niger (contre 0.867 pour le Burkina Faso et 0.764 pour le Tchad)</w:t>
      </w:r>
      <w:r w:rsidR="00496A7D">
        <w:rPr>
          <w:rFonts w:ascii="Times New Roman" w:hAnsi="Times New Roman" w:cs="Times New Roman"/>
        </w:rPr>
        <w:t xml:space="preserve"> comme le montre le tableau 2</w:t>
      </w:r>
      <w:r w:rsidRPr="008A6225">
        <w:rPr>
          <w:rFonts w:ascii="Times New Roman" w:hAnsi="Times New Roman" w:cs="Times New Roman"/>
        </w:rPr>
        <w:t xml:space="preserve">. Le Niger se place ainsi parmi les pays où le niveau d’égalité femmes-hommes dans l’IDH est jugé bas (écart absolu de la parité des sexes supérieur à 10 %). </w:t>
      </w:r>
      <w:r w:rsidRPr="008A6225">
        <w:rPr>
          <w:rFonts w:ascii="Times New Roman" w:eastAsia="Times New Roman" w:hAnsi="Times New Roman" w:cs="Times New Roman"/>
          <w:color w:val="000000" w:themeColor="text1"/>
          <w:szCs w:val="20"/>
          <w:lang w:eastAsia="fr-FR"/>
        </w:rPr>
        <w:t>Ces inégalités sont encore plus perceptibles à travers l’indice d’inégalité de genre (IIG) qui reflète les écarts entre trois domaines : santé génésique, autonomisation et activité économique des femmes. L’IIG montre que le Niger (0,642) est relativement loin du niveau de l’Afrique subsaharienne (0,570).  Ces résultats conformes au niveau de développement du genre dans le pays (0,724), traduisent le faible accès des femmes aux services de santé de la reproduction et leur fa</w:t>
      </w:r>
      <w:r>
        <w:rPr>
          <w:rFonts w:ascii="Times New Roman" w:eastAsia="Times New Roman" w:hAnsi="Times New Roman" w:cs="Times New Roman"/>
          <w:color w:val="000000" w:themeColor="text1"/>
          <w:szCs w:val="20"/>
          <w:lang w:eastAsia="fr-FR"/>
        </w:rPr>
        <w:t>ible autonomisation économique.</w:t>
      </w:r>
    </w:p>
    <w:p w14:paraId="6F5D37F8" w14:textId="77777777" w:rsidR="0028280C" w:rsidRDefault="0028280C" w:rsidP="0028280C">
      <w:pPr>
        <w:pStyle w:val="Lgende"/>
        <w:rPr>
          <w:lang w:eastAsia="fr-FR"/>
        </w:rPr>
      </w:pPr>
      <w:bookmarkStart w:id="164" w:name="_Ref86001529"/>
      <w:r>
        <w:t xml:space="preserve">Tableau </w:t>
      </w:r>
      <w:fldSimple w:instr=" SEQ Tableau \* ARABIC ">
        <w:r>
          <w:rPr>
            <w:noProof/>
          </w:rPr>
          <w:t>2</w:t>
        </w:r>
      </w:fldSimple>
      <w:bookmarkEnd w:id="164"/>
      <w:r>
        <w:t xml:space="preserve"> : </w:t>
      </w:r>
      <w:r>
        <w:rPr>
          <w:lang w:eastAsia="fr-FR"/>
        </w:rPr>
        <w:t>Développement et inégalités de genre au Niger en 2019</w:t>
      </w:r>
    </w:p>
    <w:tbl>
      <w:tblPr>
        <w:tblW w:w="9200" w:type="dxa"/>
        <w:tblLook w:val="04A0" w:firstRow="1" w:lastRow="0" w:firstColumn="1" w:lastColumn="0" w:noHBand="0" w:noVBand="1"/>
      </w:tblPr>
      <w:tblGrid>
        <w:gridCol w:w="4632"/>
        <w:gridCol w:w="754"/>
        <w:gridCol w:w="1400"/>
        <w:gridCol w:w="1310"/>
        <w:gridCol w:w="1104"/>
      </w:tblGrid>
      <w:tr w:rsidR="0028280C" w14:paraId="325CA3DA" w14:textId="77777777" w:rsidTr="00E43F48">
        <w:trPr>
          <w:trHeight w:val="495"/>
          <w:tblHeader/>
        </w:trPr>
        <w:tc>
          <w:tcPr>
            <w:tcW w:w="4673" w:type="dxa"/>
            <w:hideMark/>
          </w:tcPr>
          <w:p w14:paraId="663921FF" w14:textId="77777777" w:rsidR="0028280C" w:rsidRDefault="0028280C" w:rsidP="00E43F48">
            <w:pPr>
              <w:jc w:val="both"/>
              <w:rPr>
                <w:rFonts w:eastAsia="Times New Roman"/>
                <w:color w:val="000000"/>
                <w:sz w:val="18"/>
                <w:szCs w:val="18"/>
              </w:rPr>
            </w:pPr>
          </w:p>
        </w:tc>
        <w:tc>
          <w:tcPr>
            <w:tcW w:w="756" w:type="dxa"/>
            <w:hideMark/>
          </w:tcPr>
          <w:p w14:paraId="38DA2C0C" w14:textId="77777777" w:rsidR="0028280C" w:rsidRDefault="0028280C" w:rsidP="00E43F48">
            <w:pPr>
              <w:jc w:val="center"/>
              <w:rPr>
                <w:b/>
                <w:bCs/>
                <w:color w:val="000000"/>
                <w:sz w:val="18"/>
                <w:szCs w:val="18"/>
              </w:rPr>
            </w:pPr>
            <w:r>
              <w:rPr>
                <w:b/>
                <w:bCs/>
                <w:color w:val="000000"/>
                <w:sz w:val="18"/>
                <w:szCs w:val="18"/>
              </w:rPr>
              <w:t>Niger</w:t>
            </w:r>
          </w:p>
        </w:tc>
        <w:tc>
          <w:tcPr>
            <w:tcW w:w="1375" w:type="dxa"/>
            <w:hideMark/>
          </w:tcPr>
          <w:p w14:paraId="24D89E3B" w14:textId="77777777" w:rsidR="0028280C" w:rsidRDefault="0028280C" w:rsidP="00E43F48">
            <w:pPr>
              <w:jc w:val="center"/>
              <w:rPr>
                <w:b/>
                <w:bCs/>
                <w:color w:val="000000"/>
                <w:sz w:val="18"/>
                <w:szCs w:val="18"/>
              </w:rPr>
            </w:pPr>
            <w:r>
              <w:rPr>
                <w:b/>
                <w:bCs/>
                <w:color w:val="000000"/>
                <w:sz w:val="18"/>
                <w:szCs w:val="18"/>
              </w:rPr>
              <w:t>Pays en développement</w:t>
            </w:r>
          </w:p>
        </w:tc>
        <w:tc>
          <w:tcPr>
            <w:tcW w:w="1286" w:type="dxa"/>
            <w:hideMark/>
          </w:tcPr>
          <w:p w14:paraId="253AF70E" w14:textId="77777777" w:rsidR="0028280C" w:rsidRDefault="0028280C" w:rsidP="00E43F48">
            <w:pPr>
              <w:jc w:val="center"/>
              <w:rPr>
                <w:b/>
                <w:bCs/>
                <w:color w:val="000000"/>
                <w:sz w:val="18"/>
                <w:szCs w:val="18"/>
              </w:rPr>
            </w:pPr>
            <w:r>
              <w:rPr>
                <w:b/>
                <w:bCs/>
                <w:color w:val="000000"/>
                <w:sz w:val="18"/>
                <w:szCs w:val="18"/>
              </w:rPr>
              <w:t>Afrique  subsaharienne</w:t>
            </w:r>
          </w:p>
        </w:tc>
        <w:tc>
          <w:tcPr>
            <w:tcW w:w="1110" w:type="dxa"/>
            <w:hideMark/>
          </w:tcPr>
          <w:p w14:paraId="6224A1B6" w14:textId="77777777" w:rsidR="0028280C" w:rsidRDefault="0028280C" w:rsidP="00E43F48">
            <w:pPr>
              <w:jc w:val="center"/>
              <w:rPr>
                <w:b/>
                <w:bCs/>
                <w:color w:val="000000"/>
                <w:sz w:val="18"/>
                <w:szCs w:val="18"/>
              </w:rPr>
            </w:pPr>
            <w:r>
              <w:rPr>
                <w:b/>
                <w:bCs/>
                <w:color w:val="000000"/>
                <w:sz w:val="18"/>
                <w:szCs w:val="18"/>
              </w:rPr>
              <w:t xml:space="preserve">Monde  </w:t>
            </w:r>
          </w:p>
        </w:tc>
      </w:tr>
      <w:tr w:rsidR="0028280C" w:rsidRPr="000D6B8D" w14:paraId="59237A88" w14:textId="77777777" w:rsidTr="00E43F48">
        <w:trPr>
          <w:trHeight w:val="300"/>
        </w:trPr>
        <w:tc>
          <w:tcPr>
            <w:tcW w:w="4673" w:type="dxa"/>
            <w:shd w:val="clear" w:color="auto" w:fill="auto"/>
          </w:tcPr>
          <w:p w14:paraId="2706A8C8" w14:textId="77777777" w:rsidR="0028280C" w:rsidRPr="00040F84" w:rsidRDefault="0028280C" w:rsidP="00E43F48">
            <w:pPr>
              <w:jc w:val="both"/>
              <w:rPr>
                <w:bCs/>
                <w:color w:val="000000"/>
                <w:sz w:val="18"/>
                <w:szCs w:val="18"/>
              </w:rPr>
            </w:pPr>
            <w:r w:rsidRPr="00040F84">
              <w:rPr>
                <w:bCs/>
                <w:color w:val="000000"/>
                <w:sz w:val="18"/>
                <w:szCs w:val="18"/>
              </w:rPr>
              <w:t>Indice de développement de genre (IDG) 2019</w:t>
            </w:r>
          </w:p>
        </w:tc>
        <w:tc>
          <w:tcPr>
            <w:tcW w:w="756" w:type="dxa"/>
            <w:shd w:val="clear" w:color="auto" w:fill="auto"/>
          </w:tcPr>
          <w:p w14:paraId="4585B82E" w14:textId="77777777" w:rsidR="0028280C" w:rsidRPr="000D6B8D" w:rsidRDefault="0028280C" w:rsidP="00E43F48">
            <w:pPr>
              <w:jc w:val="center"/>
              <w:rPr>
                <w:b/>
                <w:bCs/>
                <w:color w:val="000000"/>
                <w:sz w:val="18"/>
                <w:szCs w:val="18"/>
              </w:rPr>
            </w:pPr>
            <w:r w:rsidRPr="000D6B8D">
              <w:rPr>
                <w:b/>
                <w:bCs/>
                <w:color w:val="000000"/>
                <w:sz w:val="18"/>
                <w:szCs w:val="18"/>
              </w:rPr>
              <w:t>0,724</w:t>
            </w:r>
          </w:p>
        </w:tc>
        <w:tc>
          <w:tcPr>
            <w:tcW w:w="1375" w:type="dxa"/>
            <w:shd w:val="clear" w:color="auto" w:fill="auto"/>
          </w:tcPr>
          <w:p w14:paraId="35F7870A" w14:textId="77777777" w:rsidR="0028280C" w:rsidRPr="000D6B8D" w:rsidRDefault="0028280C" w:rsidP="00E43F48">
            <w:pPr>
              <w:jc w:val="center"/>
              <w:rPr>
                <w:b/>
                <w:bCs/>
                <w:color w:val="000000"/>
                <w:sz w:val="18"/>
                <w:szCs w:val="18"/>
              </w:rPr>
            </w:pPr>
            <w:r w:rsidRPr="000D6B8D">
              <w:rPr>
                <w:b/>
                <w:bCs/>
                <w:color w:val="000000"/>
                <w:sz w:val="18"/>
                <w:szCs w:val="18"/>
              </w:rPr>
              <w:t>0,919</w:t>
            </w:r>
          </w:p>
        </w:tc>
        <w:tc>
          <w:tcPr>
            <w:tcW w:w="1286" w:type="dxa"/>
            <w:shd w:val="clear" w:color="auto" w:fill="auto"/>
          </w:tcPr>
          <w:p w14:paraId="74046BA9" w14:textId="77777777" w:rsidR="0028280C" w:rsidRPr="000D6B8D" w:rsidRDefault="0028280C" w:rsidP="00E43F48">
            <w:pPr>
              <w:jc w:val="center"/>
              <w:rPr>
                <w:b/>
                <w:bCs/>
                <w:color w:val="000000"/>
                <w:sz w:val="18"/>
                <w:szCs w:val="18"/>
              </w:rPr>
            </w:pPr>
            <w:r w:rsidRPr="000D6B8D">
              <w:rPr>
                <w:b/>
                <w:bCs/>
                <w:color w:val="000000"/>
                <w:sz w:val="18"/>
                <w:szCs w:val="18"/>
              </w:rPr>
              <w:t>0,894</w:t>
            </w:r>
          </w:p>
        </w:tc>
        <w:tc>
          <w:tcPr>
            <w:tcW w:w="1110" w:type="dxa"/>
            <w:shd w:val="clear" w:color="auto" w:fill="auto"/>
          </w:tcPr>
          <w:p w14:paraId="68A33B36" w14:textId="77777777" w:rsidR="0028280C" w:rsidRPr="000D6B8D" w:rsidRDefault="0028280C" w:rsidP="00E43F48">
            <w:pPr>
              <w:jc w:val="center"/>
              <w:rPr>
                <w:b/>
                <w:bCs/>
                <w:color w:val="000000"/>
                <w:sz w:val="18"/>
                <w:szCs w:val="18"/>
              </w:rPr>
            </w:pPr>
            <w:r w:rsidRPr="000D6B8D">
              <w:rPr>
                <w:b/>
                <w:bCs/>
                <w:color w:val="000000"/>
                <w:sz w:val="18"/>
                <w:szCs w:val="18"/>
              </w:rPr>
              <w:t>0,943</w:t>
            </w:r>
          </w:p>
        </w:tc>
      </w:tr>
      <w:tr w:rsidR="0028280C" w:rsidRPr="000D6B8D" w14:paraId="47A4B96C" w14:textId="77777777" w:rsidTr="00E43F48">
        <w:trPr>
          <w:trHeight w:val="300"/>
        </w:trPr>
        <w:tc>
          <w:tcPr>
            <w:tcW w:w="4673" w:type="dxa"/>
            <w:shd w:val="clear" w:color="auto" w:fill="auto"/>
          </w:tcPr>
          <w:p w14:paraId="41208D2C" w14:textId="77777777" w:rsidR="0028280C" w:rsidRPr="00040F84" w:rsidRDefault="0028280C" w:rsidP="00E43F48">
            <w:pPr>
              <w:pStyle w:val="Paragraphedeliste"/>
              <w:numPr>
                <w:ilvl w:val="0"/>
                <w:numId w:val="8"/>
              </w:numPr>
              <w:spacing w:line="264" w:lineRule="auto"/>
              <w:ind w:left="454" w:hanging="454"/>
              <w:jc w:val="both"/>
              <w:rPr>
                <w:b/>
                <w:color w:val="000000"/>
                <w:sz w:val="18"/>
                <w:szCs w:val="18"/>
              </w:rPr>
            </w:pPr>
            <w:r w:rsidRPr="00040F84">
              <w:rPr>
                <w:b/>
                <w:color w:val="000000"/>
                <w:sz w:val="18"/>
                <w:szCs w:val="18"/>
              </w:rPr>
              <w:t>ODD 3. Espérance de vie à la naissance (ans)</w:t>
            </w:r>
          </w:p>
        </w:tc>
        <w:tc>
          <w:tcPr>
            <w:tcW w:w="756" w:type="dxa"/>
            <w:shd w:val="clear" w:color="auto" w:fill="auto"/>
          </w:tcPr>
          <w:p w14:paraId="18D49BB1" w14:textId="77777777" w:rsidR="0028280C" w:rsidRPr="000D6B8D" w:rsidRDefault="0028280C" w:rsidP="00E43F48">
            <w:pPr>
              <w:jc w:val="center"/>
              <w:rPr>
                <w:rFonts w:cs="Times New Roman"/>
                <w:b/>
                <w:bCs/>
                <w:color w:val="000000"/>
                <w:sz w:val="18"/>
                <w:szCs w:val="18"/>
              </w:rPr>
            </w:pPr>
          </w:p>
        </w:tc>
        <w:tc>
          <w:tcPr>
            <w:tcW w:w="1375" w:type="dxa"/>
            <w:shd w:val="clear" w:color="auto" w:fill="auto"/>
          </w:tcPr>
          <w:p w14:paraId="2F658C73" w14:textId="77777777" w:rsidR="0028280C" w:rsidRPr="000D6B8D" w:rsidRDefault="0028280C" w:rsidP="00E43F48">
            <w:pPr>
              <w:jc w:val="center"/>
              <w:rPr>
                <w:rFonts w:cs="Times New Roman"/>
                <w:b/>
                <w:bCs/>
                <w:color w:val="000000"/>
                <w:sz w:val="18"/>
                <w:szCs w:val="18"/>
              </w:rPr>
            </w:pPr>
          </w:p>
        </w:tc>
        <w:tc>
          <w:tcPr>
            <w:tcW w:w="1286" w:type="dxa"/>
            <w:shd w:val="clear" w:color="auto" w:fill="auto"/>
          </w:tcPr>
          <w:p w14:paraId="65C9E5A0" w14:textId="77777777" w:rsidR="0028280C" w:rsidRPr="000D6B8D" w:rsidRDefault="0028280C" w:rsidP="00E43F48">
            <w:pPr>
              <w:jc w:val="center"/>
              <w:rPr>
                <w:rFonts w:cs="Times New Roman"/>
                <w:b/>
                <w:bCs/>
                <w:color w:val="000000"/>
                <w:sz w:val="18"/>
                <w:szCs w:val="18"/>
              </w:rPr>
            </w:pPr>
          </w:p>
        </w:tc>
        <w:tc>
          <w:tcPr>
            <w:tcW w:w="1110" w:type="dxa"/>
            <w:shd w:val="clear" w:color="auto" w:fill="auto"/>
          </w:tcPr>
          <w:p w14:paraId="0D7B20C4" w14:textId="77777777" w:rsidR="0028280C" w:rsidRPr="000D6B8D" w:rsidRDefault="0028280C" w:rsidP="00E43F48">
            <w:pPr>
              <w:jc w:val="center"/>
              <w:rPr>
                <w:rFonts w:cs="Times New Roman"/>
                <w:b/>
                <w:bCs/>
                <w:color w:val="000000"/>
                <w:sz w:val="18"/>
                <w:szCs w:val="18"/>
              </w:rPr>
            </w:pPr>
          </w:p>
        </w:tc>
      </w:tr>
      <w:tr w:rsidR="0028280C" w:rsidRPr="009A6C31" w14:paraId="3DCA4903" w14:textId="77777777" w:rsidTr="00E43F48">
        <w:trPr>
          <w:trHeight w:val="300"/>
        </w:trPr>
        <w:tc>
          <w:tcPr>
            <w:tcW w:w="4673" w:type="dxa"/>
            <w:shd w:val="clear" w:color="auto" w:fill="auto"/>
          </w:tcPr>
          <w:p w14:paraId="156A433F" w14:textId="77777777" w:rsidR="0028280C" w:rsidRPr="00040F84" w:rsidRDefault="0028280C" w:rsidP="00E43F48">
            <w:pPr>
              <w:ind w:left="1416"/>
              <w:jc w:val="both"/>
              <w:rPr>
                <w:b/>
                <w:color w:val="000000"/>
                <w:sz w:val="18"/>
                <w:szCs w:val="18"/>
              </w:rPr>
            </w:pPr>
            <w:r w:rsidRPr="00040F84">
              <w:rPr>
                <w:b/>
                <w:color w:val="000000"/>
                <w:sz w:val="18"/>
                <w:szCs w:val="18"/>
              </w:rPr>
              <w:t>Femme</w:t>
            </w:r>
          </w:p>
        </w:tc>
        <w:tc>
          <w:tcPr>
            <w:tcW w:w="756" w:type="dxa"/>
            <w:shd w:val="clear" w:color="auto" w:fill="auto"/>
          </w:tcPr>
          <w:p w14:paraId="28A287A7" w14:textId="77777777" w:rsidR="0028280C" w:rsidRPr="009A6C31" w:rsidRDefault="0028280C" w:rsidP="00E43F48">
            <w:pPr>
              <w:jc w:val="center"/>
              <w:rPr>
                <w:bCs/>
                <w:color w:val="000000"/>
                <w:sz w:val="18"/>
                <w:szCs w:val="18"/>
              </w:rPr>
            </w:pPr>
            <w:r>
              <w:rPr>
                <w:bCs/>
                <w:color w:val="000000"/>
                <w:sz w:val="18"/>
                <w:szCs w:val="18"/>
              </w:rPr>
              <w:t>63,6</w:t>
            </w:r>
          </w:p>
        </w:tc>
        <w:tc>
          <w:tcPr>
            <w:tcW w:w="1375" w:type="dxa"/>
            <w:shd w:val="clear" w:color="auto" w:fill="auto"/>
          </w:tcPr>
          <w:p w14:paraId="7E3ADB3E" w14:textId="77777777" w:rsidR="0028280C" w:rsidRDefault="0028280C" w:rsidP="00E43F48">
            <w:pPr>
              <w:jc w:val="center"/>
              <w:rPr>
                <w:color w:val="000000"/>
                <w:sz w:val="18"/>
                <w:szCs w:val="18"/>
              </w:rPr>
            </w:pPr>
            <w:r>
              <w:rPr>
                <w:color w:val="000000"/>
                <w:sz w:val="18"/>
                <w:szCs w:val="18"/>
              </w:rPr>
              <w:t>73,4</w:t>
            </w:r>
          </w:p>
        </w:tc>
        <w:tc>
          <w:tcPr>
            <w:tcW w:w="1286" w:type="dxa"/>
            <w:shd w:val="clear" w:color="auto" w:fill="auto"/>
          </w:tcPr>
          <w:p w14:paraId="32F9E7F7" w14:textId="77777777" w:rsidR="0028280C" w:rsidRPr="009A6C31" w:rsidRDefault="0028280C" w:rsidP="00E43F48">
            <w:pPr>
              <w:jc w:val="center"/>
              <w:rPr>
                <w:bCs/>
                <w:color w:val="000000"/>
                <w:sz w:val="18"/>
                <w:szCs w:val="18"/>
              </w:rPr>
            </w:pPr>
            <w:r>
              <w:rPr>
                <w:bCs/>
                <w:color w:val="000000"/>
                <w:sz w:val="18"/>
                <w:szCs w:val="18"/>
              </w:rPr>
              <w:t>63,3</w:t>
            </w:r>
          </w:p>
        </w:tc>
        <w:tc>
          <w:tcPr>
            <w:tcW w:w="1110" w:type="dxa"/>
            <w:shd w:val="clear" w:color="auto" w:fill="auto"/>
          </w:tcPr>
          <w:p w14:paraId="3844ADBF" w14:textId="77777777" w:rsidR="0028280C" w:rsidRPr="009A6C31" w:rsidRDefault="0028280C" w:rsidP="00E43F48">
            <w:pPr>
              <w:jc w:val="center"/>
              <w:rPr>
                <w:bCs/>
                <w:color w:val="000000"/>
                <w:sz w:val="18"/>
                <w:szCs w:val="18"/>
              </w:rPr>
            </w:pPr>
            <w:r>
              <w:rPr>
                <w:bCs/>
                <w:color w:val="000000"/>
                <w:sz w:val="18"/>
                <w:szCs w:val="18"/>
              </w:rPr>
              <w:t>75,5</w:t>
            </w:r>
          </w:p>
        </w:tc>
      </w:tr>
      <w:tr w:rsidR="0028280C" w:rsidRPr="009A6C31" w14:paraId="648DDCE9" w14:textId="77777777" w:rsidTr="00E43F48">
        <w:trPr>
          <w:trHeight w:val="300"/>
        </w:trPr>
        <w:tc>
          <w:tcPr>
            <w:tcW w:w="4673" w:type="dxa"/>
            <w:shd w:val="clear" w:color="auto" w:fill="auto"/>
          </w:tcPr>
          <w:p w14:paraId="145FBCA7" w14:textId="77777777" w:rsidR="0028280C" w:rsidRPr="00040F84" w:rsidRDefault="0028280C" w:rsidP="00E43F48">
            <w:pPr>
              <w:ind w:left="1416"/>
              <w:jc w:val="both"/>
              <w:rPr>
                <w:b/>
                <w:color w:val="000000"/>
                <w:sz w:val="18"/>
                <w:szCs w:val="18"/>
              </w:rPr>
            </w:pPr>
            <w:r w:rsidRPr="00040F84">
              <w:rPr>
                <w:b/>
                <w:color w:val="000000"/>
                <w:sz w:val="18"/>
                <w:szCs w:val="18"/>
              </w:rPr>
              <w:t>Homme</w:t>
            </w:r>
          </w:p>
        </w:tc>
        <w:tc>
          <w:tcPr>
            <w:tcW w:w="756" w:type="dxa"/>
            <w:shd w:val="clear" w:color="auto" w:fill="auto"/>
          </w:tcPr>
          <w:p w14:paraId="37D50DDD" w14:textId="77777777" w:rsidR="0028280C" w:rsidRPr="009A6C31" w:rsidRDefault="0028280C" w:rsidP="00E43F48">
            <w:pPr>
              <w:jc w:val="center"/>
              <w:rPr>
                <w:bCs/>
                <w:color w:val="000000"/>
                <w:sz w:val="18"/>
                <w:szCs w:val="18"/>
              </w:rPr>
            </w:pPr>
            <w:r>
              <w:rPr>
                <w:bCs/>
                <w:color w:val="000000"/>
                <w:sz w:val="18"/>
                <w:szCs w:val="18"/>
              </w:rPr>
              <w:t>61,3</w:t>
            </w:r>
          </w:p>
        </w:tc>
        <w:tc>
          <w:tcPr>
            <w:tcW w:w="1375" w:type="dxa"/>
            <w:shd w:val="clear" w:color="auto" w:fill="auto"/>
          </w:tcPr>
          <w:p w14:paraId="03819DCC" w14:textId="77777777" w:rsidR="0028280C" w:rsidRDefault="0028280C" w:rsidP="00E43F48">
            <w:pPr>
              <w:jc w:val="center"/>
              <w:rPr>
                <w:color w:val="000000"/>
                <w:sz w:val="18"/>
                <w:szCs w:val="18"/>
              </w:rPr>
            </w:pPr>
            <w:r>
              <w:rPr>
                <w:color w:val="000000"/>
                <w:sz w:val="18"/>
                <w:szCs w:val="18"/>
              </w:rPr>
              <w:t>63,9</w:t>
            </w:r>
          </w:p>
        </w:tc>
        <w:tc>
          <w:tcPr>
            <w:tcW w:w="1286" w:type="dxa"/>
            <w:shd w:val="clear" w:color="auto" w:fill="auto"/>
          </w:tcPr>
          <w:p w14:paraId="1E8F4BAA" w14:textId="77777777" w:rsidR="0028280C" w:rsidRPr="009A6C31" w:rsidRDefault="0028280C" w:rsidP="00E43F48">
            <w:pPr>
              <w:jc w:val="center"/>
              <w:rPr>
                <w:bCs/>
                <w:color w:val="000000"/>
                <w:sz w:val="18"/>
                <w:szCs w:val="18"/>
              </w:rPr>
            </w:pPr>
            <w:r>
              <w:rPr>
                <w:bCs/>
                <w:color w:val="000000"/>
                <w:sz w:val="18"/>
                <w:szCs w:val="18"/>
              </w:rPr>
              <w:t>59,8</w:t>
            </w:r>
          </w:p>
        </w:tc>
        <w:tc>
          <w:tcPr>
            <w:tcW w:w="1110" w:type="dxa"/>
            <w:shd w:val="clear" w:color="auto" w:fill="auto"/>
          </w:tcPr>
          <w:p w14:paraId="7A568734" w14:textId="77777777" w:rsidR="0028280C" w:rsidRPr="009A6C31" w:rsidRDefault="0028280C" w:rsidP="00E43F48">
            <w:pPr>
              <w:jc w:val="center"/>
              <w:rPr>
                <w:bCs/>
                <w:color w:val="000000"/>
                <w:sz w:val="18"/>
                <w:szCs w:val="18"/>
              </w:rPr>
            </w:pPr>
            <w:r>
              <w:rPr>
                <w:bCs/>
                <w:color w:val="000000"/>
                <w:sz w:val="18"/>
                <w:szCs w:val="18"/>
              </w:rPr>
              <w:t>70,6</w:t>
            </w:r>
          </w:p>
        </w:tc>
      </w:tr>
      <w:tr w:rsidR="0028280C" w14:paraId="67454475" w14:textId="77777777" w:rsidTr="00E43F48">
        <w:trPr>
          <w:trHeight w:val="300"/>
        </w:trPr>
        <w:tc>
          <w:tcPr>
            <w:tcW w:w="4673" w:type="dxa"/>
            <w:shd w:val="clear" w:color="auto" w:fill="auto"/>
          </w:tcPr>
          <w:p w14:paraId="3160BCC6" w14:textId="77777777" w:rsidR="0028280C" w:rsidRPr="00040F84" w:rsidRDefault="0028280C" w:rsidP="00E43F48">
            <w:pPr>
              <w:pStyle w:val="Paragraphedeliste"/>
              <w:numPr>
                <w:ilvl w:val="0"/>
                <w:numId w:val="8"/>
              </w:numPr>
              <w:spacing w:line="264" w:lineRule="auto"/>
              <w:ind w:left="454" w:hanging="454"/>
              <w:jc w:val="both"/>
              <w:rPr>
                <w:b/>
                <w:color w:val="000000"/>
                <w:sz w:val="18"/>
                <w:szCs w:val="18"/>
              </w:rPr>
            </w:pPr>
            <w:r w:rsidRPr="00040F84">
              <w:rPr>
                <w:b/>
                <w:color w:val="000000"/>
                <w:sz w:val="18"/>
                <w:szCs w:val="18"/>
              </w:rPr>
              <w:t>ODD 4.3. Durée attendue de scolarisation (ans)</w:t>
            </w:r>
          </w:p>
        </w:tc>
        <w:tc>
          <w:tcPr>
            <w:tcW w:w="756" w:type="dxa"/>
            <w:shd w:val="clear" w:color="auto" w:fill="auto"/>
          </w:tcPr>
          <w:p w14:paraId="6736C182" w14:textId="77777777" w:rsidR="0028280C" w:rsidRDefault="0028280C" w:rsidP="00E43F48">
            <w:pPr>
              <w:jc w:val="center"/>
              <w:rPr>
                <w:color w:val="000000"/>
                <w:sz w:val="18"/>
                <w:szCs w:val="18"/>
              </w:rPr>
            </w:pPr>
          </w:p>
        </w:tc>
        <w:tc>
          <w:tcPr>
            <w:tcW w:w="1375" w:type="dxa"/>
            <w:shd w:val="clear" w:color="auto" w:fill="auto"/>
          </w:tcPr>
          <w:p w14:paraId="3AAA804D" w14:textId="77777777" w:rsidR="0028280C" w:rsidRDefault="0028280C" w:rsidP="00E43F48">
            <w:pPr>
              <w:jc w:val="center"/>
              <w:rPr>
                <w:color w:val="000000"/>
                <w:sz w:val="18"/>
                <w:szCs w:val="18"/>
              </w:rPr>
            </w:pPr>
          </w:p>
        </w:tc>
        <w:tc>
          <w:tcPr>
            <w:tcW w:w="1286" w:type="dxa"/>
            <w:shd w:val="clear" w:color="auto" w:fill="auto"/>
          </w:tcPr>
          <w:p w14:paraId="3A08EF47" w14:textId="77777777" w:rsidR="0028280C" w:rsidRDefault="0028280C" w:rsidP="00E43F48">
            <w:pPr>
              <w:jc w:val="center"/>
              <w:rPr>
                <w:color w:val="000000"/>
                <w:sz w:val="18"/>
                <w:szCs w:val="18"/>
              </w:rPr>
            </w:pPr>
          </w:p>
        </w:tc>
        <w:tc>
          <w:tcPr>
            <w:tcW w:w="1110" w:type="dxa"/>
            <w:shd w:val="clear" w:color="auto" w:fill="auto"/>
          </w:tcPr>
          <w:p w14:paraId="03D04074" w14:textId="77777777" w:rsidR="0028280C" w:rsidRDefault="0028280C" w:rsidP="00E43F48">
            <w:pPr>
              <w:jc w:val="center"/>
              <w:rPr>
                <w:color w:val="000000"/>
                <w:sz w:val="18"/>
                <w:szCs w:val="18"/>
              </w:rPr>
            </w:pPr>
          </w:p>
        </w:tc>
      </w:tr>
      <w:tr w:rsidR="0028280C" w14:paraId="4EF54B32" w14:textId="77777777" w:rsidTr="00E43F48">
        <w:trPr>
          <w:trHeight w:val="300"/>
        </w:trPr>
        <w:tc>
          <w:tcPr>
            <w:tcW w:w="4673" w:type="dxa"/>
            <w:shd w:val="clear" w:color="auto" w:fill="auto"/>
          </w:tcPr>
          <w:p w14:paraId="67601DAF" w14:textId="77777777" w:rsidR="0028280C" w:rsidRPr="00040F84" w:rsidRDefault="0028280C" w:rsidP="00E43F48">
            <w:pPr>
              <w:ind w:left="1416"/>
              <w:jc w:val="both"/>
              <w:rPr>
                <w:b/>
                <w:color w:val="000000"/>
                <w:sz w:val="18"/>
                <w:szCs w:val="18"/>
              </w:rPr>
            </w:pPr>
            <w:r w:rsidRPr="00040F84">
              <w:rPr>
                <w:b/>
                <w:color w:val="000000"/>
                <w:sz w:val="18"/>
                <w:szCs w:val="18"/>
              </w:rPr>
              <w:t>Femme</w:t>
            </w:r>
          </w:p>
        </w:tc>
        <w:tc>
          <w:tcPr>
            <w:tcW w:w="756" w:type="dxa"/>
            <w:shd w:val="clear" w:color="auto" w:fill="auto"/>
          </w:tcPr>
          <w:p w14:paraId="6D5FB2F7" w14:textId="77777777" w:rsidR="0028280C" w:rsidRDefault="0028280C" w:rsidP="00E43F48">
            <w:pPr>
              <w:jc w:val="center"/>
              <w:rPr>
                <w:color w:val="000000"/>
                <w:sz w:val="18"/>
                <w:szCs w:val="18"/>
              </w:rPr>
            </w:pPr>
            <w:r>
              <w:rPr>
                <w:color w:val="000000"/>
                <w:sz w:val="18"/>
                <w:szCs w:val="18"/>
              </w:rPr>
              <w:t>5,7</w:t>
            </w:r>
          </w:p>
        </w:tc>
        <w:tc>
          <w:tcPr>
            <w:tcW w:w="1375" w:type="dxa"/>
            <w:shd w:val="clear" w:color="auto" w:fill="auto"/>
          </w:tcPr>
          <w:p w14:paraId="0B619942" w14:textId="77777777" w:rsidR="0028280C" w:rsidRPr="009A6C31" w:rsidRDefault="0028280C" w:rsidP="00E43F48">
            <w:pPr>
              <w:jc w:val="center"/>
              <w:rPr>
                <w:color w:val="000000"/>
                <w:sz w:val="18"/>
                <w:szCs w:val="18"/>
              </w:rPr>
            </w:pPr>
            <w:r>
              <w:rPr>
                <w:color w:val="000000"/>
                <w:sz w:val="18"/>
                <w:szCs w:val="18"/>
              </w:rPr>
              <w:t>12,2</w:t>
            </w:r>
          </w:p>
        </w:tc>
        <w:tc>
          <w:tcPr>
            <w:tcW w:w="1286" w:type="dxa"/>
            <w:shd w:val="clear" w:color="auto" w:fill="auto"/>
          </w:tcPr>
          <w:p w14:paraId="3A411F44" w14:textId="77777777" w:rsidR="0028280C" w:rsidRDefault="0028280C" w:rsidP="00E43F48">
            <w:pPr>
              <w:jc w:val="center"/>
              <w:rPr>
                <w:color w:val="000000"/>
                <w:sz w:val="18"/>
                <w:szCs w:val="18"/>
              </w:rPr>
            </w:pPr>
            <w:r>
              <w:rPr>
                <w:color w:val="000000"/>
                <w:sz w:val="18"/>
                <w:szCs w:val="18"/>
              </w:rPr>
              <w:t>9,5</w:t>
            </w:r>
          </w:p>
        </w:tc>
        <w:tc>
          <w:tcPr>
            <w:tcW w:w="1110" w:type="dxa"/>
            <w:shd w:val="clear" w:color="auto" w:fill="auto"/>
          </w:tcPr>
          <w:p w14:paraId="6F594692" w14:textId="77777777" w:rsidR="0028280C" w:rsidRDefault="0028280C" w:rsidP="00E43F48">
            <w:pPr>
              <w:jc w:val="center"/>
              <w:rPr>
                <w:color w:val="000000"/>
                <w:sz w:val="18"/>
                <w:szCs w:val="18"/>
              </w:rPr>
            </w:pPr>
            <w:r>
              <w:rPr>
                <w:color w:val="000000"/>
                <w:sz w:val="18"/>
                <w:szCs w:val="18"/>
              </w:rPr>
              <w:t>12,7</w:t>
            </w:r>
          </w:p>
        </w:tc>
      </w:tr>
      <w:tr w:rsidR="0028280C" w14:paraId="1ADB3809" w14:textId="77777777" w:rsidTr="00E43F48">
        <w:trPr>
          <w:trHeight w:val="300"/>
        </w:trPr>
        <w:tc>
          <w:tcPr>
            <w:tcW w:w="4673" w:type="dxa"/>
            <w:shd w:val="clear" w:color="auto" w:fill="auto"/>
          </w:tcPr>
          <w:p w14:paraId="33529641" w14:textId="77777777" w:rsidR="0028280C" w:rsidRPr="00040F84" w:rsidRDefault="0028280C" w:rsidP="00E43F48">
            <w:pPr>
              <w:ind w:left="1416"/>
              <w:jc w:val="both"/>
              <w:rPr>
                <w:b/>
                <w:color w:val="000000"/>
                <w:sz w:val="18"/>
                <w:szCs w:val="18"/>
              </w:rPr>
            </w:pPr>
            <w:r w:rsidRPr="00040F84">
              <w:rPr>
                <w:b/>
                <w:color w:val="000000"/>
                <w:sz w:val="18"/>
                <w:szCs w:val="18"/>
              </w:rPr>
              <w:t>Homme</w:t>
            </w:r>
          </w:p>
        </w:tc>
        <w:tc>
          <w:tcPr>
            <w:tcW w:w="756" w:type="dxa"/>
            <w:shd w:val="clear" w:color="auto" w:fill="auto"/>
          </w:tcPr>
          <w:p w14:paraId="025B1455" w14:textId="77777777" w:rsidR="0028280C" w:rsidRDefault="0028280C" w:rsidP="00E43F48">
            <w:pPr>
              <w:jc w:val="center"/>
              <w:rPr>
                <w:color w:val="000000"/>
                <w:sz w:val="18"/>
                <w:szCs w:val="18"/>
              </w:rPr>
            </w:pPr>
            <w:r>
              <w:rPr>
                <w:color w:val="000000"/>
                <w:sz w:val="18"/>
                <w:szCs w:val="18"/>
              </w:rPr>
              <w:t>7,2</w:t>
            </w:r>
          </w:p>
        </w:tc>
        <w:tc>
          <w:tcPr>
            <w:tcW w:w="1375" w:type="dxa"/>
            <w:shd w:val="clear" w:color="auto" w:fill="auto"/>
          </w:tcPr>
          <w:p w14:paraId="7B27B6C0" w14:textId="77777777" w:rsidR="0028280C" w:rsidRPr="009A6C31" w:rsidRDefault="0028280C" w:rsidP="00E43F48">
            <w:pPr>
              <w:jc w:val="center"/>
              <w:rPr>
                <w:color w:val="000000"/>
                <w:sz w:val="18"/>
                <w:szCs w:val="18"/>
              </w:rPr>
            </w:pPr>
            <w:r>
              <w:rPr>
                <w:color w:val="000000"/>
                <w:sz w:val="18"/>
                <w:szCs w:val="18"/>
              </w:rPr>
              <w:t>12,3</w:t>
            </w:r>
          </w:p>
        </w:tc>
        <w:tc>
          <w:tcPr>
            <w:tcW w:w="1286" w:type="dxa"/>
            <w:shd w:val="clear" w:color="auto" w:fill="auto"/>
          </w:tcPr>
          <w:p w14:paraId="3D9AD498" w14:textId="77777777" w:rsidR="0028280C" w:rsidRDefault="0028280C" w:rsidP="00E43F48">
            <w:pPr>
              <w:jc w:val="center"/>
              <w:rPr>
                <w:color w:val="000000"/>
                <w:sz w:val="18"/>
                <w:szCs w:val="18"/>
              </w:rPr>
            </w:pPr>
            <w:r>
              <w:rPr>
                <w:color w:val="000000"/>
                <w:sz w:val="18"/>
                <w:szCs w:val="18"/>
              </w:rPr>
              <w:t>10,6</w:t>
            </w:r>
          </w:p>
        </w:tc>
        <w:tc>
          <w:tcPr>
            <w:tcW w:w="1110" w:type="dxa"/>
            <w:shd w:val="clear" w:color="auto" w:fill="auto"/>
          </w:tcPr>
          <w:p w14:paraId="77DAAAE6" w14:textId="77777777" w:rsidR="0028280C" w:rsidRDefault="0028280C" w:rsidP="00E43F48">
            <w:pPr>
              <w:jc w:val="center"/>
              <w:rPr>
                <w:color w:val="000000"/>
                <w:sz w:val="18"/>
                <w:szCs w:val="18"/>
              </w:rPr>
            </w:pPr>
            <w:r>
              <w:rPr>
                <w:color w:val="000000"/>
                <w:sz w:val="18"/>
                <w:szCs w:val="18"/>
              </w:rPr>
              <w:t>12,7</w:t>
            </w:r>
          </w:p>
        </w:tc>
      </w:tr>
      <w:tr w:rsidR="0028280C" w14:paraId="751608B6" w14:textId="77777777" w:rsidTr="00E43F48">
        <w:trPr>
          <w:trHeight w:val="118"/>
        </w:trPr>
        <w:tc>
          <w:tcPr>
            <w:tcW w:w="4673" w:type="dxa"/>
            <w:shd w:val="clear" w:color="auto" w:fill="auto"/>
          </w:tcPr>
          <w:p w14:paraId="67017C1F" w14:textId="77777777" w:rsidR="0028280C" w:rsidRPr="00040F84" w:rsidRDefault="0028280C" w:rsidP="00E43F48">
            <w:pPr>
              <w:pStyle w:val="Paragraphedeliste"/>
              <w:numPr>
                <w:ilvl w:val="0"/>
                <w:numId w:val="8"/>
              </w:numPr>
              <w:spacing w:line="264" w:lineRule="auto"/>
              <w:ind w:left="454" w:hanging="454"/>
              <w:jc w:val="both"/>
              <w:rPr>
                <w:b/>
                <w:color w:val="000000"/>
                <w:sz w:val="18"/>
                <w:szCs w:val="18"/>
              </w:rPr>
            </w:pPr>
            <w:r w:rsidRPr="00040F84">
              <w:rPr>
                <w:b/>
                <w:color w:val="000000"/>
                <w:sz w:val="18"/>
                <w:szCs w:val="18"/>
              </w:rPr>
              <w:t>ODD 4.4. Durée moyenne de scolarisation (ans)</w:t>
            </w:r>
          </w:p>
        </w:tc>
        <w:tc>
          <w:tcPr>
            <w:tcW w:w="756" w:type="dxa"/>
            <w:shd w:val="clear" w:color="auto" w:fill="auto"/>
          </w:tcPr>
          <w:p w14:paraId="3F039CB6" w14:textId="77777777" w:rsidR="0028280C" w:rsidRPr="009A6C31" w:rsidRDefault="0028280C" w:rsidP="00E43F48">
            <w:pPr>
              <w:jc w:val="center"/>
              <w:rPr>
                <w:color w:val="000000"/>
                <w:sz w:val="18"/>
                <w:szCs w:val="18"/>
              </w:rPr>
            </w:pPr>
          </w:p>
        </w:tc>
        <w:tc>
          <w:tcPr>
            <w:tcW w:w="1375" w:type="dxa"/>
            <w:shd w:val="clear" w:color="auto" w:fill="auto"/>
          </w:tcPr>
          <w:p w14:paraId="089FB7BB" w14:textId="77777777" w:rsidR="0028280C" w:rsidRPr="009A6C31" w:rsidRDefault="0028280C" w:rsidP="00E43F48">
            <w:pPr>
              <w:jc w:val="center"/>
              <w:rPr>
                <w:color w:val="000000"/>
                <w:sz w:val="18"/>
                <w:szCs w:val="18"/>
              </w:rPr>
            </w:pPr>
          </w:p>
        </w:tc>
        <w:tc>
          <w:tcPr>
            <w:tcW w:w="1286" w:type="dxa"/>
            <w:shd w:val="clear" w:color="auto" w:fill="auto"/>
          </w:tcPr>
          <w:p w14:paraId="72582A97" w14:textId="77777777" w:rsidR="0028280C" w:rsidRPr="009A6C31" w:rsidRDefault="0028280C" w:rsidP="00E43F48">
            <w:pPr>
              <w:jc w:val="center"/>
              <w:rPr>
                <w:color w:val="000000"/>
                <w:sz w:val="18"/>
                <w:szCs w:val="18"/>
              </w:rPr>
            </w:pPr>
          </w:p>
        </w:tc>
        <w:tc>
          <w:tcPr>
            <w:tcW w:w="1110" w:type="dxa"/>
            <w:shd w:val="clear" w:color="auto" w:fill="auto"/>
          </w:tcPr>
          <w:p w14:paraId="3B66E2C2" w14:textId="77777777" w:rsidR="0028280C" w:rsidRPr="009A6C31" w:rsidRDefault="0028280C" w:rsidP="00E43F48">
            <w:pPr>
              <w:jc w:val="center"/>
              <w:rPr>
                <w:color w:val="000000"/>
                <w:sz w:val="18"/>
                <w:szCs w:val="18"/>
              </w:rPr>
            </w:pPr>
          </w:p>
        </w:tc>
      </w:tr>
      <w:tr w:rsidR="0028280C" w14:paraId="440A29D6" w14:textId="77777777" w:rsidTr="00E43F48">
        <w:trPr>
          <w:trHeight w:val="300"/>
        </w:trPr>
        <w:tc>
          <w:tcPr>
            <w:tcW w:w="4673" w:type="dxa"/>
            <w:shd w:val="clear" w:color="auto" w:fill="auto"/>
          </w:tcPr>
          <w:p w14:paraId="69591EF5" w14:textId="77777777" w:rsidR="0028280C" w:rsidRPr="00040F84" w:rsidRDefault="0028280C" w:rsidP="00E43F48">
            <w:pPr>
              <w:ind w:left="1416"/>
              <w:jc w:val="both"/>
              <w:rPr>
                <w:b/>
                <w:color w:val="000000"/>
                <w:sz w:val="18"/>
                <w:szCs w:val="18"/>
              </w:rPr>
            </w:pPr>
            <w:r w:rsidRPr="00040F84">
              <w:rPr>
                <w:b/>
                <w:color w:val="000000"/>
                <w:sz w:val="18"/>
                <w:szCs w:val="18"/>
              </w:rPr>
              <w:t>Femme</w:t>
            </w:r>
          </w:p>
        </w:tc>
        <w:tc>
          <w:tcPr>
            <w:tcW w:w="756" w:type="dxa"/>
            <w:shd w:val="clear" w:color="auto" w:fill="auto"/>
          </w:tcPr>
          <w:p w14:paraId="1B058C20" w14:textId="77777777" w:rsidR="0028280C" w:rsidRPr="009A6C31" w:rsidRDefault="0028280C" w:rsidP="00E43F48">
            <w:pPr>
              <w:jc w:val="center"/>
              <w:rPr>
                <w:color w:val="000000"/>
                <w:sz w:val="18"/>
                <w:szCs w:val="18"/>
              </w:rPr>
            </w:pPr>
            <w:r>
              <w:rPr>
                <w:color w:val="000000"/>
                <w:sz w:val="18"/>
                <w:szCs w:val="18"/>
              </w:rPr>
              <w:t>1,4</w:t>
            </w:r>
          </w:p>
        </w:tc>
        <w:tc>
          <w:tcPr>
            <w:tcW w:w="1375" w:type="dxa"/>
            <w:shd w:val="clear" w:color="auto" w:fill="auto"/>
          </w:tcPr>
          <w:p w14:paraId="3EDD696A" w14:textId="77777777" w:rsidR="0028280C" w:rsidRPr="009A6C31" w:rsidRDefault="0028280C" w:rsidP="00E43F48">
            <w:pPr>
              <w:jc w:val="center"/>
              <w:rPr>
                <w:color w:val="000000"/>
                <w:sz w:val="18"/>
                <w:szCs w:val="18"/>
              </w:rPr>
            </w:pPr>
            <w:r>
              <w:rPr>
                <w:color w:val="000000"/>
                <w:sz w:val="18"/>
                <w:szCs w:val="18"/>
              </w:rPr>
              <w:t>6,9</w:t>
            </w:r>
          </w:p>
        </w:tc>
        <w:tc>
          <w:tcPr>
            <w:tcW w:w="1286" w:type="dxa"/>
            <w:shd w:val="clear" w:color="auto" w:fill="auto"/>
          </w:tcPr>
          <w:p w14:paraId="4F21CD6A" w14:textId="77777777" w:rsidR="0028280C" w:rsidRPr="009A6C31" w:rsidRDefault="0028280C" w:rsidP="00E43F48">
            <w:pPr>
              <w:jc w:val="center"/>
              <w:rPr>
                <w:color w:val="000000"/>
                <w:sz w:val="18"/>
                <w:szCs w:val="18"/>
              </w:rPr>
            </w:pPr>
            <w:r>
              <w:rPr>
                <w:color w:val="000000"/>
                <w:sz w:val="18"/>
                <w:szCs w:val="18"/>
              </w:rPr>
              <w:t>4,9</w:t>
            </w:r>
          </w:p>
        </w:tc>
        <w:tc>
          <w:tcPr>
            <w:tcW w:w="1110" w:type="dxa"/>
            <w:shd w:val="clear" w:color="auto" w:fill="auto"/>
          </w:tcPr>
          <w:p w14:paraId="5ED24767" w14:textId="77777777" w:rsidR="0028280C" w:rsidRPr="009A6C31" w:rsidRDefault="0028280C" w:rsidP="00E43F48">
            <w:pPr>
              <w:jc w:val="center"/>
              <w:rPr>
                <w:color w:val="000000"/>
                <w:sz w:val="18"/>
                <w:szCs w:val="18"/>
              </w:rPr>
            </w:pPr>
            <w:r>
              <w:rPr>
                <w:color w:val="000000"/>
                <w:sz w:val="18"/>
                <w:szCs w:val="18"/>
              </w:rPr>
              <w:t>8,1</w:t>
            </w:r>
          </w:p>
        </w:tc>
      </w:tr>
      <w:tr w:rsidR="0028280C" w14:paraId="16E6CF2D" w14:textId="77777777" w:rsidTr="00E43F48">
        <w:trPr>
          <w:trHeight w:val="300"/>
        </w:trPr>
        <w:tc>
          <w:tcPr>
            <w:tcW w:w="4673" w:type="dxa"/>
            <w:shd w:val="clear" w:color="auto" w:fill="auto"/>
          </w:tcPr>
          <w:p w14:paraId="54F3D467" w14:textId="77777777" w:rsidR="0028280C" w:rsidRPr="00040F84" w:rsidRDefault="0028280C" w:rsidP="00E43F48">
            <w:pPr>
              <w:ind w:left="1416"/>
              <w:jc w:val="both"/>
              <w:rPr>
                <w:b/>
                <w:color w:val="000000"/>
                <w:sz w:val="18"/>
                <w:szCs w:val="18"/>
              </w:rPr>
            </w:pPr>
            <w:r w:rsidRPr="00040F84">
              <w:rPr>
                <w:b/>
                <w:color w:val="000000"/>
                <w:sz w:val="18"/>
                <w:szCs w:val="18"/>
              </w:rPr>
              <w:t>Homme</w:t>
            </w:r>
          </w:p>
        </w:tc>
        <w:tc>
          <w:tcPr>
            <w:tcW w:w="756" w:type="dxa"/>
            <w:shd w:val="clear" w:color="auto" w:fill="auto"/>
          </w:tcPr>
          <w:p w14:paraId="29284F35" w14:textId="77777777" w:rsidR="0028280C" w:rsidRPr="009A6C31" w:rsidRDefault="0028280C" w:rsidP="00E43F48">
            <w:pPr>
              <w:jc w:val="center"/>
              <w:rPr>
                <w:color w:val="000000"/>
                <w:sz w:val="18"/>
                <w:szCs w:val="18"/>
              </w:rPr>
            </w:pPr>
            <w:r>
              <w:rPr>
                <w:color w:val="000000"/>
                <w:sz w:val="18"/>
                <w:szCs w:val="18"/>
              </w:rPr>
              <w:t>2,8</w:t>
            </w:r>
          </w:p>
        </w:tc>
        <w:tc>
          <w:tcPr>
            <w:tcW w:w="1375" w:type="dxa"/>
            <w:shd w:val="clear" w:color="auto" w:fill="auto"/>
          </w:tcPr>
          <w:p w14:paraId="0A736B4A" w14:textId="77777777" w:rsidR="0028280C" w:rsidRPr="009A6C31" w:rsidRDefault="0028280C" w:rsidP="00E43F48">
            <w:pPr>
              <w:jc w:val="center"/>
              <w:rPr>
                <w:color w:val="000000"/>
                <w:sz w:val="18"/>
                <w:szCs w:val="18"/>
              </w:rPr>
            </w:pPr>
            <w:r>
              <w:rPr>
                <w:color w:val="000000"/>
                <w:sz w:val="18"/>
                <w:szCs w:val="18"/>
              </w:rPr>
              <w:t>8,3</w:t>
            </w:r>
          </w:p>
        </w:tc>
        <w:tc>
          <w:tcPr>
            <w:tcW w:w="1286" w:type="dxa"/>
            <w:shd w:val="clear" w:color="auto" w:fill="auto"/>
          </w:tcPr>
          <w:p w14:paraId="08E7B0DB" w14:textId="77777777" w:rsidR="0028280C" w:rsidRPr="009A6C31" w:rsidRDefault="0028280C" w:rsidP="00E43F48">
            <w:pPr>
              <w:jc w:val="center"/>
              <w:rPr>
                <w:color w:val="000000"/>
                <w:sz w:val="18"/>
                <w:szCs w:val="18"/>
              </w:rPr>
            </w:pPr>
            <w:r>
              <w:rPr>
                <w:color w:val="000000"/>
                <w:sz w:val="18"/>
                <w:szCs w:val="18"/>
              </w:rPr>
              <w:t>6,7</w:t>
            </w:r>
          </w:p>
        </w:tc>
        <w:tc>
          <w:tcPr>
            <w:tcW w:w="1110" w:type="dxa"/>
            <w:shd w:val="clear" w:color="auto" w:fill="auto"/>
          </w:tcPr>
          <w:p w14:paraId="3B787329" w14:textId="77777777" w:rsidR="0028280C" w:rsidRPr="009A6C31" w:rsidRDefault="0028280C" w:rsidP="00E43F48">
            <w:pPr>
              <w:jc w:val="center"/>
              <w:rPr>
                <w:color w:val="000000"/>
                <w:sz w:val="18"/>
                <w:szCs w:val="18"/>
              </w:rPr>
            </w:pPr>
            <w:r>
              <w:rPr>
                <w:color w:val="000000"/>
                <w:sz w:val="18"/>
                <w:szCs w:val="18"/>
              </w:rPr>
              <w:t>9,2</w:t>
            </w:r>
          </w:p>
        </w:tc>
      </w:tr>
      <w:tr w:rsidR="0028280C" w14:paraId="4BE0F007" w14:textId="77777777" w:rsidTr="00E43F48">
        <w:trPr>
          <w:trHeight w:val="300"/>
        </w:trPr>
        <w:tc>
          <w:tcPr>
            <w:tcW w:w="4673" w:type="dxa"/>
            <w:shd w:val="clear" w:color="auto" w:fill="auto"/>
          </w:tcPr>
          <w:p w14:paraId="2FA6BEAD" w14:textId="77777777" w:rsidR="0028280C" w:rsidRPr="00040F84" w:rsidRDefault="0028280C" w:rsidP="00E43F48">
            <w:pPr>
              <w:pStyle w:val="Paragraphedeliste"/>
              <w:numPr>
                <w:ilvl w:val="0"/>
                <w:numId w:val="8"/>
              </w:numPr>
              <w:spacing w:line="264" w:lineRule="auto"/>
              <w:ind w:left="454" w:hanging="454"/>
              <w:jc w:val="both"/>
              <w:rPr>
                <w:b/>
                <w:color w:val="000000"/>
                <w:sz w:val="18"/>
                <w:szCs w:val="18"/>
              </w:rPr>
            </w:pPr>
            <w:r w:rsidRPr="00040F84">
              <w:rPr>
                <w:b/>
                <w:color w:val="000000"/>
                <w:sz w:val="18"/>
                <w:szCs w:val="18"/>
              </w:rPr>
              <w:t>ODD 8.5 : Revenu national brut estimé par habitant</w:t>
            </w:r>
          </w:p>
          <w:p w14:paraId="2AEDB7B5" w14:textId="77777777" w:rsidR="0028280C" w:rsidRPr="00040F84" w:rsidRDefault="0028280C" w:rsidP="00E43F48">
            <w:pPr>
              <w:ind w:left="170"/>
              <w:jc w:val="center"/>
              <w:rPr>
                <w:b/>
                <w:color w:val="000000"/>
                <w:sz w:val="18"/>
                <w:szCs w:val="18"/>
              </w:rPr>
            </w:pPr>
            <w:r w:rsidRPr="00040F84">
              <w:rPr>
                <w:b/>
                <w:color w:val="000000"/>
                <w:sz w:val="18"/>
                <w:szCs w:val="18"/>
              </w:rPr>
              <w:t>(USD 2017 en PPA)</w:t>
            </w:r>
          </w:p>
        </w:tc>
        <w:tc>
          <w:tcPr>
            <w:tcW w:w="756" w:type="dxa"/>
            <w:shd w:val="clear" w:color="auto" w:fill="auto"/>
          </w:tcPr>
          <w:p w14:paraId="7CAD71D1" w14:textId="77777777" w:rsidR="0028280C" w:rsidRPr="009A6C31" w:rsidRDefault="0028280C" w:rsidP="00E43F48">
            <w:pPr>
              <w:jc w:val="center"/>
              <w:rPr>
                <w:color w:val="000000"/>
                <w:sz w:val="18"/>
                <w:szCs w:val="18"/>
              </w:rPr>
            </w:pPr>
          </w:p>
        </w:tc>
        <w:tc>
          <w:tcPr>
            <w:tcW w:w="1375" w:type="dxa"/>
            <w:shd w:val="clear" w:color="auto" w:fill="auto"/>
          </w:tcPr>
          <w:p w14:paraId="24F461AD" w14:textId="77777777" w:rsidR="0028280C" w:rsidRPr="009A6C31" w:rsidRDefault="0028280C" w:rsidP="00E43F48">
            <w:pPr>
              <w:jc w:val="center"/>
              <w:rPr>
                <w:color w:val="000000"/>
                <w:sz w:val="18"/>
                <w:szCs w:val="18"/>
              </w:rPr>
            </w:pPr>
          </w:p>
        </w:tc>
        <w:tc>
          <w:tcPr>
            <w:tcW w:w="1286" w:type="dxa"/>
            <w:shd w:val="clear" w:color="auto" w:fill="auto"/>
          </w:tcPr>
          <w:p w14:paraId="4E540256" w14:textId="77777777" w:rsidR="0028280C" w:rsidRPr="009A6C31" w:rsidRDefault="0028280C" w:rsidP="00E43F48">
            <w:pPr>
              <w:jc w:val="center"/>
              <w:rPr>
                <w:color w:val="000000"/>
                <w:sz w:val="18"/>
                <w:szCs w:val="18"/>
              </w:rPr>
            </w:pPr>
          </w:p>
        </w:tc>
        <w:tc>
          <w:tcPr>
            <w:tcW w:w="1110" w:type="dxa"/>
            <w:shd w:val="clear" w:color="auto" w:fill="auto"/>
          </w:tcPr>
          <w:p w14:paraId="07EA8AF1" w14:textId="77777777" w:rsidR="0028280C" w:rsidRPr="009A6C31" w:rsidRDefault="0028280C" w:rsidP="00E43F48">
            <w:pPr>
              <w:jc w:val="center"/>
              <w:rPr>
                <w:color w:val="000000"/>
                <w:sz w:val="18"/>
                <w:szCs w:val="18"/>
              </w:rPr>
            </w:pPr>
          </w:p>
        </w:tc>
      </w:tr>
      <w:tr w:rsidR="0028280C" w14:paraId="75A56DBF" w14:textId="77777777" w:rsidTr="00E43F48">
        <w:trPr>
          <w:trHeight w:val="300"/>
        </w:trPr>
        <w:tc>
          <w:tcPr>
            <w:tcW w:w="4673" w:type="dxa"/>
            <w:shd w:val="clear" w:color="auto" w:fill="auto"/>
          </w:tcPr>
          <w:p w14:paraId="0F652A64" w14:textId="77777777" w:rsidR="0028280C" w:rsidRPr="00040F84" w:rsidRDefault="0028280C" w:rsidP="00E43F48">
            <w:pPr>
              <w:ind w:left="1416"/>
              <w:jc w:val="both"/>
              <w:rPr>
                <w:b/>
                <w:color w:val="000000"/>
                <w:sz w:val="18"/>
                <w:szCs w:val="18"/>
              </w:rPr>
            </w:pPr>
            <w:r w:rsidRPr="00040F84">
              <w:rPr>
                <w:b/>
                <w:color w:val="000000"/>
                <w:sz w:val="18"/>
                <w:szCs w:val="18"/>
              </w:rPr>
              <w:t>Femme</w:t>
            </w:r>
          </w:p>
        </w:tc>
        <w:tc>
          <w:tcPr>
            <w:tcW w:w="756" w:type="dxa"/>
            <w:shd w:val="clear" w:color="auto" w:fill="auto"/>
          </w:tcPr>
          <w:p w14:paraId="3717FCBF" w14:textId="77777777" w:rsidR="0028280C" w:rsidRPr="009A6C31" w:rsidRDefault="0028280C" w:rsidP="00E43F48">
            <w:pPr>
              <w:jc w:val="center"/>
              <w:rPr>
                <w:color w:val="000000"/>
                <w:sz w:val="18"/>
                <w:szCs w:val="18"/>
              </w:rPr>
            </w:pPr>
            <w:r>
              <w:rPr>
                <w:color w:val="000000"/>
                <w:sz w:val="18"/>
                <w:szCs w:val="18"/>
              </w:rPr>
              <w:t>536</w:t>
            </w:r>
          </w:p>
        </w:tc>
        <w:tc>
          <w:tcPr>
            <w:tcW w:w="1375" w:type="dxa"/>
            <w:shd w:val="clear" w:color="auto" w:fill="auto"/>
          </w:tcPr>
          <w:p w14:paraId="2E47EAA1" w14:textId="77777777" w:rsidR="0028280C" w:rsidRPr="009A6C31" w:rsidRDefault="0028280C" w:rsidP="00E43F48">
            <w:pPr>
              <w:jc w:val="center"/>
              <w:rPr>
                <w:color w:val="000000"/>
                <w:sz w:val="18"/>
                <w:szCs w:val="18"/>
              </w:rPr>
            </w:pPr>
            <w:r>
              <w:rPr>
                <w:color w:val="000000"/>
                <w:sz w:val="18"/>
                <w:szCs w:val="18"/>
              </w:rPr>
              <w:t>6 923</w:t>
            </w:r>
          </w:p>
        </w:tc>
        <w:tc>
          <w:tcPr>
            <w:tcW w:w="1286" w:type="dxa"/>
            <w:shd w:val="clear" w:color="auto" w:fill="auto"/>
          </w:tcPr>
          <w:p w14:paraId="1800E1A8" w14:textId="77777777" w:rsidR="0028280C" w:rsidRPr="009A6C31" w:rsidRDefault="0028280C" w:rsidP="00E43F48">
            <w:pPr>
              <w:jc w:val="center"/>
              <w:rPr>
                <w:color w:val="000000"/>
                <w:sz w:val="18"/>
                <w:szCs w:val="18"/>
              </w:rPr>
            </w:pPr>
            <w:r>
              <w:rPr>
                <w:color w:val="000000"/>
                <w:sz w:val="18"/>
                <w:szCs w:val="18"/>
              </w:rPr>
              <w:t>2937</w:t>
            </w:r>
          </w:p>
        </w:tc>
        <w:tc>
          <w:tcPr>
            <w:tcW w:w="1110" w:type="dxa"/>
            <w:shd w:val="clear" w:color="auto" w:fill="auto"/>
          </w:tcPr>
          <w:p w14:paraId="74DDA239" w14:textId="77777777" w:rsidR="0028280C" w:rsidRPr="009A6C31" w:rsidRDefault="0028280C" w:rsidP="00E43F48">
            <w:pPr>
              <w:jc w:val="center"/>
              <w:rPr>
                <w:color w:val="000000"/>
                <w:sz w:val="18"/>
                <w:szCs w:val="18"/>
              </w:rPr>
            </w:pPr>
            <w:r>
              <w:rPr>
                <w:color w:val="000000"/>
                <w:sz w:val="18"/>
                <w:szCs w:val="18"/>
              </w:rPr>
              <w:t>12 063</w:t>
            </w:r>
          </w:p>
        </w:tc>
      </w:tr>
      <w:tr w:rsidR="0028280C" w14:paraId="2E9BDF81" w14:textId="77777777" w:rsidTr="00E43F48">
        <w:trPr>
          <w:trHeight w:val="300"/>
        </w:trPr>
        <w:tc>
          <w:tcPr>
            <w:tcW w:w="4673" w:type="dxa"/>
            <w:shd w:val="clear" w:color="auto" w:fill="auto"/>
          </w:tcPr>
          <w:p w14:paraId="66704121" w14:textId="77777777" w:rsidR="0028280C" w:rsidRPr="00040F84" w:rsidRDefault="0028280C" w:rsidP="00E43F48">
            <w:pPr>
              <w:ind w:left="1416"/>
              <w:jc w:val="both"/>
              <w:rPr>
                <w:b/>
                <w:color w:val="000000"/>
                <w:sz w:val="18"/>
                <w:szCs w:val="18"/>
              </w:rPr>
            </w:pPr>
            <w:r w:rsidRPr="00040F84">
              <w:rPr>
                <w:b/>
                <w:color w:val="000000"/>
                <w:sz w:val="18"/>
                <w:szCs w:val="18"/>
              </w:rPr>
              <w:lastRenderedPageBreak/>
              <w:t>Homme</w:t>
            </w:r>
          </w:p>
        </w:tc>
        <w:tc>
          <w:tcPr>
            <w:tcW w:w="756" w:type="dxa"/>
            <w:shd w:val="clear" w:color="auto" w:fill="auto"/>
          </w:tcPr>
          <w:p w14:paraId="7B7F7BDB" w14:textId="77777777" w:rsidR="0028280C" w:rsidRPr="009A6C31" w:rsidRDefault="0028280C" w:rsidP="00E43F48">
            <w:pPr>
              <w:jc w:val="center"/>
              <w:rPr>
                <w:color w:val="000000"/>
                <w:sz w:val="18"/>
                <w:szCs w:val="18"/>
              </w:rPr>
            </w:pPr>
            <w:r>
              <w:rPr>
                <w:color w:val="000000"/>
                <w:sz w:val="18"/>
                <w:szCs w:val="18"/>
              </w:rPr>
              <w:t>1859</w:t>
            </w:r>
          </w:p>
        </w:tc>
        <w:tc>
          <w:tcPr>
            <w:tcW w:w="1375" w:type="dxa"/>
            <w:shd w:val="clear" w:color="auto" w:fill="auto"/>
          </w:tcPr>
          <w:p w14:paraId="64BF7DD6" w14:textId="77777777" w:rsidR="0028280C" w:rsidRPr="009A6C31" w:rsidRDefault="0028280C" w:rsidP="00E43F48">
            <w:pPr>
              <w:jc w:val="center"/>
              <w:rPr>
                <w:color w:val="000000"/>
                <w:sz w:val="18"/>
                <w:szCs w:val="18"/>
              </w:rPr>
            </w:pPr>
            <w:r>
              <w:rPr>
                <w:color w:val="000000"/>
                <w:sz w:val="18"/>
                <w:szCs w:val="18"/>
              </w:rPr>
              <w:t>14 136</w:t>
            </w:r>
          </w:p>
        </w:tc>
        <w:tc>
          <w:tcPr>
            <w:tcW w:w="1286" w:type="dxa"/>
            <w:shd w:val="clear" w:color="auto" w:fill="auto"/>
          </w:tcPr>
          <w:p w14:paraId="214B6F8F" w14:textId="77777777" w:rsidR="0028280C" w:rsidRPr="009A6C31" w:rsidRDefault="0028280C" w:rsidP="00E43F48">
            <w:pPr>
              <w:jc w:val="center"/>
              <w:rPr>
                <w:color w:val="000000"/>
                <w:sz w:val="18"/>
                <w:szCs w:val="18"/>
              </w:rPr>
            </w:pPr>
            <w:r>
              <w:rPr>
                <w:color w:val="000000"/>
                <w:sz w:val="18"/>
                <w:szCs w:val="18"/>
              </w:rPr>
              <w:t>4434</w:t>
            </w:r>
          </w:p>
        </w:tc>
        <w:tc>
          <w:tcPr>
            <w:tcW w:w="1110" w:type="dxa"/>
            <w:shd w:val="clear" w:color="auto" w:fill="auto"/>
          </w:tcPr>
          <w:p w14:paraId="66037B3E" w14:textId="77777777" w:rsidR="0028280C" w:rsidRPr="009A6C31" w:rsidRDefault="0028280C" w:rsidP="00E43F48">
            <w:pPr>
              <w:jc w:val="center"/>
              <w:rPr>
                <w:color w:val="000000"/>
                <w:sz w:val="18"/>
                <w:szCs w:val="18"/>
              </w:rPr>
            </w:pPr>
            <w:r>
              <w:rPr>
                <w:color w:val="000000"/>
                <w:sz w:val="18"/>
                <w:szCs w:val="18"/>
              </w:rPr>
              <w:t>21 323</w:t>
            </w:r>
          </w:p>
        </w:tc>
      </w:tr>
      <w:tr w:rsidR="0028280C" w:rsidRPr="009A6C31" w14:paraId="2338D55A" w14:textId="77777777" w:rsidTr="00E43F48">
        <w:trPr>
          <w:trHeight w:val="300"/>
        </w:trPr>
        <w:tc>
          <w:tcPr>
            <w:tcW w:w="4673" w:type="dxa"/>
            <w:shd w:val="clear" w:color="auto" w:fill="auto"/>
          </w:tcPr>
          <w:p w14:paraId="2CDA1382" w14:textId="77777777" w:rsidR="0028280C" w:rsidRPr="00040F84" w:rsidRDefault="0028280C" w:rsidP="00E43F48">
            <w:pPr>
              <w:jc w:val="both"/>
              <w:rPr>
                <w:color w:val="000000"/>
                <w:sz w:val="18"/>
                <w:szCs w:val="18"/>
              </w:rPr>
            </w:pPr>
            <w:r w:rsidRPr="00040F84">
              <w:rPr>
                <w:color w:val="000000"/>
                <w:sz w:val="18"/>
                <w:szCs w:val="18"/>
              </w:rPr>
              <w:t>Indice d’inégalité de Genre (IIG) 2019</w:t>
            </w:r>
          </w:p>
        </w:tc>
        <w:tc>
          <w:tcPr>
            <w:tcW w:w="756" w:type="dxa"/>
            <w:shd w:val="clear" w:color="auto" w:fill="auto"/>
          </w:tcPr>
          <w:p w14:paraId="452B2C2E" w14:textId="77777777" w:rsidR="0028280C" w:rsidRPr="00012458" w:rsidRDefault="0028280C" w:rsidP="00E43F48">
            <w:pPr>
              <w:jc w:val="center"/>
              <w:rPr>
                <w:color w:val="000000"/>
                <w:sz w:val="18"/>
                <w:szCs w:val="18"/>
              </w:rPr>
            </w:pPr>
            <w:r w:rsidRPr="00012458">
              <w:rPr>
                <w:color w:val="000000"/>
                <w:sz w:val="18"/>
                <w:szCs w:val="18"/>
              </w:rPr>
              <w:t>0,642</w:t>
            </w:r>
          </w:p>
        </w:tc>
        <w:tc>
          <w:tcPr>
            <w:tcW w:w="1375" w:type="dxa"/>
            <w:shd w:val="clear" w:color="auto" w:fill="auto"/>
          </w:tcPr>
          <w:p w14:paraId="244AC544" w14:textId="77777777" w:rsidR="0028280C" w:rsidRPr="00012458" w:rsidRDefault="0028280C" w:rsidP="00E43F48">
            <w:pPr>
              <w:jc w:val="center"/>
              <w:rPr>
                <w:color w:val="000000"/>
                <w:sz w:val="18"/>
                <w:szCs w:val="18"/>
              </w:rPr>
            </w:pPr>
            <w:r w:rsidRPr="00012458">
              <w:rPr>
                <w:color w:val="000000"/>
                <w:sz w:val="18"/>
                <w:szCs w:val="18"/>
              </w:rPr>
              <w:t>0,463</w:t>
            </w:r>
          </w:p>
        </w:tc>
        <w:tc>
          <w:tcPr>
            <w:tcW w:w="1286" w:type="dxa"/>
            <w:shd w:val="clear" w:color="auto" w:fill="auto"/>
          </w:tcPr>
          <w:p w14:paraId="637E9266" w14:textId="77777777" w:rsidR="0028280C" w:rsidRPr="00012458" w:rsidRDefault="0028280C" w:rsidP="00E43F48">
            <w:pPr>
              <w:jc w:val="center"/>
              <w:rPr>
                <w:color w:val="000000"/>
                <w:sz w:val="18"/>
                <w:szCs w:val="18"/>
              </w:rPr>
            </w:pPr>
            <w:r w:rsidRPr="00012458">
              <w:rPr>
                <w:color w:val="000000"/>
                <w:sz w:val="18"/>
                <w:szCs w:val="18"/>
              </w:rPr>
              <w:t>0,570</w:t>
            </w:r>
          </w:p>
        </w:tc>
        <w:tc>
          <w:tcPr>
            <w:tcW w:w="1110" w:type="dxa"/>
            <w:shd w:val="clear" w:color="auto" w:fill="auto"/>
          </w:tcPr>
          <w:p w14:paraId="09C344F3" w14:textId="77777777" w:rsidR="0028280C" w:rsidRPr="00012458" w:rsidRDefault="0028280C" w:rsidP="00E43F48">
            <w:pPr>
              <w:jc w:val="center"/>
              <w:rPr>
                <w:color w:val="000000"/>
                <w:sz w:val="18"/>
                <w:szCs w:val="18"/>
              </w:rPr>
            </w:pPr>
            <w:r w:rsidRPr="00012458">
              <w:rPr>
                <w:color w:val="000000"/>
                <w:sz w:val="18"/>
                <w:szCs w:val="18"/>
              </w:rPr>
              <w:t>0,436</w:t>
            </w:r>
          </w:p>
        </w:tc>
      </w:tr>
    </w:tbl>
    <w:p w14:paraId="565DA494" w14:textId="77777777" w:rsidR="0028280C" w:rsidRPr="00944577" w:rsidRDefault="0028280C" w:rsidP="0028280C">
      <w:pPr>
        <w:jc w:val="both"/>
        <w:rPr>
          <w:color w:val="000000"/>
          <w:sz w:val="18"/>
          <w:szCs w:val="23"/>
        </w:rPr>
      </w:pPr>
      <w:r>
        <w:rPr>
          <w:color w:val="000000"/>
          <w:sz w:val="18"/>
          <w:szCs w:val="23"/>
        </w:rPr>
        <w:t>Source : PNUD, 2020.</w:t>
      </w:r>
    </w:p>
    <w:p w14:paraId="49482086" w14:textId="77777777" w:rsidR="00496A7D" w:rsidRDefault="00496A7D" w:rsidP="0028280C">
      <w:pPr>
        <w:jc w:val="both"/>
        <w:rPr>
          <w:rFonts w:ascii="Times New Roman" w:hAnsi="Times New Roman" w:cs="Times New Roman"/>
          <w:color w:val="000000"/>
          <w:szCs w:val="23"/>
        </w:rPr>
      </w:pPr>
    </w:p>
    <w:p w14:paraId="617F9529" w14:textId="284C8745" w:rsidR="0028280C" w:rsidRPr="008A6225" w:rsidRDefault="0028280C" w:rsidP="0028280C">
      <w:pPr>
        <w:jc w:val="both"/>
        <w:rPr>
          <w:rFonts w:ascii="Times New Roman" w:hAnsi="Times New Roman" w:cs="Times New Roman"/>
        </w:rPr>
      </w:pPr>
      <w:r w:rsidRPr="008A6225">
        <w:rPr>
          <w:rFonts w:ascii="Times New Roman" w:hAnsi="Times New Roman" w:cs="Times New Roman"/>
          <w:color w:val="000000"/>
          <w:szCs w:val="23"/>
        </w:rPr>
        <w:t xml:space="preserve">La volonté politique pour la prise en compte des questions liées à l’égalité et à l’équité de genre s’est </w:t>
      </w:r>
      <w:r w:rsidR="00496A7D">
        <w:rPr>
          <w:rFonts w:ascii="Times New Roman" w:hAnsi="Times New Roman" w:cs="Times New Roman"/>
          <w:color w:val="000000"/>
          <w:szCs w:val="23"/>
        </w:rPr>
        <w:t>davantage</w:t>
      </w:r>
      <w:r w:rsidRPr="008A6225">
        <w:rPr>
          <w:rFonts w:ascii="Times New Roman" w:hAnsi="Times New Roman" w:cs="Times New Roman"/>
          <w:color w:val="000000"/>
          <w:szCs w:val="23"/>
        </w:rPr>
        <w:t xml:space="preserve"> affirmée avec l’adoption par l’Assemblée Nationale en 2019, de la loi sur le quota, qui rehausse le quota aux postes électifs de 15 à 25% et de 25 à 30% pour les postes nominatifs. Il s’agit là des progrès significatifs car cette loi a contribué à l’amélioration de la représentation des femmes à l’Assemblée Nationale qui est estimée à 30,12% dans la législature actuelle (50 femmes députés sur 166 élus), alors qu’à l’issue des élections de 1999, il n’y avait qu’une seule femme à l’Assemblée Nationale qui comptait 83 députés, soit 1,20%. </w:t>
      </w:r>
      <w:r w:rsidRPr="008A6225">
        <w:rPr>
          <w:rFonts w:ascii="Times New Roman" w:hAnsi="Times New Roman" w:cs="Times New Roman"/>
        </w:rPr>
        <w:t>Au niveau local, on dénombre aujourd’hui 1212 femmes élues sur un total de 3699 conseillers communaux, soit 32,76% alors qu’à l’issue des élections de 2011, les femmes ne représentaient que 15,88% (639 femmes sur 3676 élus locaux). Pour les postes nominatifs, le taux est en deçà du quota prévu par la législation (14,7% contre 30%).</w:t>
      </w:r>
    </w:p>
    <w:p w14:paraId="1FF83B61" w14:textId="2C9ECEB1" w:rsidR="0028280C" w:rsidRPr="00A26656" w:rsidRDefault="007C48FD" w:rsidP="00A26656">
      <w:pPr>
        <w:widowControl w:val="0"/>
        <w:pBdr>
          <w:top w:val="nil"/>
          <w:left w:val="nil"/>
          <w:bottom w:val="nil"/>
          <w:right w:val="nil"/>
          <w:between w:val="nil"/>
        </w:pBdr>
        <w:jc w:val="both"/>
        <w:rPr>
          <w:rFonts w:ascii="Times New Roman" w:hAnsi="Times New Roman" w:cs="Times New Roman"/>
        </w:rPr>
      </w:pPr>
      <w:r>
        <w:rPr>
          <w:rFonts w:ascii="Times New Roman" w:hAnsi="Times New Roman" w:cs="Times New Roman"/>
        </w:rPr>
        <w:t>En somme, l</w:t>
      </w:r>
      <w:r w:rsidR="0028280C" w:rsidRPr="008A6225">
        <w:rPr>
          <w:rFonts w:ascii="Times New Roman" w:hAnsi="Times New Roman" w:cs="Times New Roman"/>
        </w:rPr>
        <w:t>a volonté politique du Niger pour la prise en compte des questions sexospécifiques est pourtant manifeste. Elle est perceptible à travers la mise en œuvre la politique Nationale de Genre et le développement d’initiatives communautaires (Initiative Illimin et projet SWEDD) en vue de l’autonomisation de la femme et de la jeune fille. Malgré tous ces efforts, le chemin pour l’autonomisation des femmes, l’équité et l’égalité de genre est encore long. En effet, des disparités entre hommes et femmes, filles et garçons persistent dans plusieurs domaines (éducation, formation, santé, emploi etc.).</w:t>
      </w:r>
    </w:p>
    <w:p w14:paraId="110AC771" w14:textId="77777777" w:rsidR="0028280C" w:rsidRPr="005A5E5B" w:rsidRDefault="0028280C" w:rsidP="0028280C">
      <w:pPr>
        <w:spacing w:before="120" w:after="240"/>
        <w:jc w:val="both"/>
        <w:rPr>
          <w:rFonts w:ascii="Times New Roman" w:eastAsia="Times New Roman" w:hAnsi="Times New Roman" w:cs="Times New Roman"/>
          <w:color w:val="000000"/>
          <w:lang w:eastAsia="fr-FR"/>
        </w:rPr>
      </w:pPr>
      <w:r w:rsidRPr="005A5E5B">
        <w:rPr>
          <w:rFonts w:ascii="Times New Roman" w:eastAsia="Times New Roman" w:hAnsi="Times New Roman" w:cs="Times New Roman"/>
          <w:color w:val="000000"/>
          <w:lang w:eastAsia="fr-FR"/>
        </w:rPr>
        <w:t>Ces résultats dévoilent un problème d’autonomisation dont les causes sont imputables à :</w:t>
      </w:r>
    </w:p>
    <w:p w14:paraId="6591ED4D" w14:textId="77777777" w:rsidR="0028280C" w:rsidRPr="005A5E5B" w:rsidRDefault="0028280C" w:rsidP="0028280C">
      <w:pPr>
        <w:pStyle w:val="Paragraphedeliste"/>
        <w:numPr>
          <w:ilvl w:val="0"/>
          <w:numId w:val="9"/>
        </w:numPr>
        <w:spacing w:before="120" w:after="240" w:line="264" w:lineRule="auto"/>
        <w:jc w:val="both"/>
        <w:rPr>
          <w:rFonts w:ascii="Times New Roman" w:hAnsi="Times New Roman" w:cs="Times New Roman"/>
          <w:iCs/>
        </w:rPr>
      </w:pPr>
      <w:r w:rsidRPr="005A5E5B">
        <w:rPr>
          <w:rFonts w:ascii="Times New Roman" w:eastAsia="Times New Roman" w:hAnsi="Times New Roman" w:cs="Times New Roman"/>
          <w:color w:val="000000"/>
          <w:lang w:eastAsia="fr-FR"/>
        </w:rPr>
        <w:t xml:space="preserve"> L’inégalité</w:t>
      </w:r>
      <w:r w:rsidRPr="005A5E5B">
        <w:rPr>
          <w:rFonts w:ascii="Times New Roman" w:hAnsi="Times New Roman" w:cs="Times New Roman"/>
          <w:iCs/>
        </w:rPr>
        <w:t xml:space="preserve"> de statut et de position dans la famille et dans la société qui restreint les chances d’éducation des femmes, limite leurs capacités à prendre des décisions et à participer à la vie de la communauté avec les mêmes chances que les hommes ;  </w:t>
      </w:r>
    </w:p>
    <w:p w14:paraId="2A49861B" w14:textId="77777777" w:rsidR="0028280C" w:rsidRDefault="0028280C" w:rsidP="0028280C">
      <w:pPr>
        <w:pStyle w:val="Paragraphedeliste"/>
        <w:numPr>
          <w:ilvl w:val="0"/>
          <w:numId w:val="9"/>
        </w:numPr>
        <w:spacing w:after="0" w:line="240" w:lineRule="auto"/>
        <w:jc w:val="both"/>
        <w:rPr>
          <w:rFonts w:ascii="Times New Roman" w:hAnsi="Times New Roman" w:cs="Times New Roman"/>
          <w:iCs/>
        </w:rPr>
      </w:pPr>
      <w:r w:rsidRPr="005A5E5B">
        <w:rPr>
          <w:rFonts w:ascii="Times New Roman" w:hAnsi="Times New Roman" w:cs="Times New Roman"/>
          <w:lang w:eastAsia="fr-FR"/>
        </w:rPr>
        <w:t>L’inégalité</w:t>
      </w:r>
      <w:r w:rsidRPr="005A5E5B">
        <w:rPr>
          <w:rFonts w:ascii="Times New Roman" w:hAnsi="Times New Roman" w:cs="Times New Roman"/>
          <w:iCs/>
        </w:rPr>
        <w:t xml:space="preserve"> de niveau d’éducation et de qualification qui compromettent leur productivité, et limitent leur accès aux opportunités de développement.</w:t>
      </w:r>
    </w:p>
    <w:p w14:paraId="61AA7932" w14:textId="77777777" w:rsidR="0028280C" w:rsidRPr="00D60714" w:rsidRDefault="0028280C" w:rsidP="0028280C">
      <w:pPr>
        <w:pStyle w:val="Paragraphedeliste"/>
        <w:spacing w:after="0" w:line="240" w:lineRule="auto"/>
        <w:jc w:val="both"/>
        <w:rPr>
          <w:rFonts w:ascii="Times New Roman" w:hAnsi="Times New Roman" w:cs="Times New Roman"/>
          <w:iCs/>
        </w:rPr>
      </w:pPr>
    </w:p>
    <w:p w14:paraId="63F866A0" w14:textId="77777777" w:rsidR="0028280C" w:rsidRDefault="0028280C" w:rsidP="0028280C">
      <w:pPr>
        <w:jc w:val="both"/>
        <w:rPr>
          <w:rFonts w:ascii="Times New Roman" w:hAnsi="Times New Roman" w:cs="Times New Roman"/>
          <w:lang w:eastAsia="fr-FR"/>
        </w:rPr>
      </w:pPr>
      <w:r w:rsidRPr="005A5E5B">
        <w:rPr>
          <w:rFonts w:ascii="Times New Roman" w:hAnsi="Times New Roman" w:cs="Times New Roman"/>
        </w:rPr>
        <w:t>En définitive,</w:t>
      </w:r>
      <w:r w:rsidRPr="005A5E5B">
        <w:rPr>
          <w:rFonts w:ascii="Times New Roman" w:hAnsi="Times New Roman" w:cs="Times New Roman"/>
          <w:lang w:eastAsia="fr-FR"/>
        </w:rPr>
        <w:t xml:space="preserve"> il convient de noter que </w:t>
      </w:r>
      <w:r w:rsidRPr="005A5E5B">
        <w:rPr>
          <w:rFonts w:ascii="Times New Roman" w:hAnsi="Times New Roman" w:cs="Times New Roman"/>
        </w:rPr>
        <w:t>les problèmes de développement du capital humain notamment l</w:t>
      </w:r>
      <w:r w:rsidRPr="005A5E5B">
        <w:rPr>
          <w:rFonts w:ascii="Times New Roman" w:hAnsi="Times New Roman" w:cs="Times New Roman"/>
          <w:lang w:eastAsia="fr-FR"/>
        </w:rPr>
        <w:t xml:space="preserve">a lenteur observée en matière de transition démographique, l’état global de santé des populations, le niveau d’éducation et le niveau de vie des populations sont autant de facteurs déterminants qui interviennent dans la productivité individuelle des actifs et la performance globale de l’économie du pays. </w:t>
      </w:r>
    </w:p>
    <w:p w14:paraId="4B8604CE" w14:textId="1159C3FF" w:rsidR="0028280C" w:rsidRPr="00797ED5" w:rsidRDefault="0028280C" w:rsidP="0028280C">
      <w:pPr>
        <w:shd w:val="clear" w:color="auto" w:fill="92D050"/>
        <w:jc w:val="both"/>
        <w:rPr>
          <w:rFonts w:ascii="Times New Roman" w:hAnsi="Times New Roman" w:cs="Times New Roman"/>
        </w:rPr>
      </w:pPr>
      <w:r w:rsidRPr="00797ED5">
        <w:rPr>
          <w:rFonts w:ascii="Times New Roman" w:hAnsi="Times New Roman" w:cs="Times New Roman"/>
          <w:i/>
          <w:lang w:eastAsia="fr-FR"/>
        </w:rPr>
        <w:t xml:space="preserve">Ainsi, le problème </w:t>
      </w:r>
      <w:r w:rsidR="007C48FD">
        <w:rPr>
          <w:rFonts w:ascii="Times New Roman" w:hAnsi="Times New Roman" w:cs="Times New Roman"/>
          <w:i/>
          <w:lang w:eastAsia="fr-FR"/>
        </w:rPr>
        <w:t>majeur</w:t>
      </w:r>
      <w:r w:rsidRPr="00797ED5">
        <w:rPr>
          <w:rFonts w:ascii="Times New Roman" w:hAnsi="Times New Roman" w:cs="Times New Roman"/>
          <w:i/>
          <w:lang w:eastAsia="fr-FR"/>
        </w:rPr>
        <w:t xml:space="preserve"> du Niger est </w:t>
      </w:r>
      <w:r w:rsidR="007C48FD" w:rsidRPr="007C48FD">
        <w:rPr>
          <w:rFonts w:ascii="Times New Roman" w:hAnsi="Times New Roman" w:cs="Times New Roman"/>
          <w:b/>
          <w:i/>
          <w:lang w:eastAsia="fr-FR"/>
        </w:rPr>
        <w:t>l</w:t>
      </w:r>
      <w:r w:rsidR="007C48FD">
        <w:rPr>
          <w:rFonts w:ascii="Times New Roman" w:hAnsi="Times New Roman" w:cs="Times New Roman"/>
          <w:i/>
          <w:lang w:eastAsia="fr-FR"/>
        </w:rPr>
        <w:t>’</w:t>
      </w:r>
      <w:r w:rsidR="007C48FD" w:rsidRPr="00797ED5">
        <w:rPr>
          <w:rFonts w:ascii="Times New Roman" w:eastAsia="Times New Roman" w:hAnsi="Times New Roman" w:cs="Times New Roman"/>
          <w:b/>
          <w:bCs/>
          <w:i/>
          <w:color w:val="000000" w:themeColor="text1"/>
          <w:lang w:eastAsia="fr-FR"/>
        </w:rPr>
        <w:t>accès limité aux services sociaux de base et à un emploi décent du fait d’une forte pression démographique qui grève la richesse nationale produite</w:t>
      </w:r>
      <w:r w:rsidR="007C48FD" w:rsidRPr="00797ED5">
        <w:rPr>
          <w:rFonts w:ascii="Times New Roman" w:hAnsi="Times New Roman" w:cs="Times New Roman"/>
          <w:b/>
          <w:i/>
          <w:lang w:eastAsia="fr-FR"/>
        </w:rPr>
        <w:t xml:space="preserve"> </w:t>
      </w:r>
      <w:r w:rsidR="007C48FD">
        <w:rPr>
          <w:rFonts w:ascii="Times New Roman" w:hAnsi="Times New Roman" w:cs="Times New Roman"/>
          <w:b/>
          <w:i/>
          <w:lang w:eastAsia="fr-FR"/>
        </w:rPr>
        <w:t xml:space="preserve"> et justifie </w:t>
      </w:r>
      <w:r w:rsidRPr="00797ED5">
        <w:rPr>
          <w:rFonts w:ascii="Times New Roman" w:hAnsi="Times New Roman" w:cs="Times New Roman"/>
          <w:b/>
          <w:i/>
          <w:lang w:eastAsia="fr-FR"/>
        </w:rPr>
        <w:t>le f</w:t>
      </w:r>
      <w:r w:rsidRPr="00797ED5">
        <w:rPr>
          <w:rFonts w:ascii="Times New Roman" w:eastAsia="Times New Roman" w:hAnsi="Times New Roman" w:cs="Times New Roman"/>
          <w:b/>
          <w:bCs/>
          <w:i/>
          <w:color w:val="000000" w:themeColor="text1"/>
          <w:lang w:eastAsia="fr-FR"/>
        </w:rPr>
        <w:t xml:space="preserve">aible développement </w:t>
      </w:r>
      <w:r w:rsidR="007C48FD">
        <w:rPr>
          <w:rFonts w:ascii="Times New Roman" w:eastAsia="Times New Roman" w:hAnsi="Times New Roman" w:cs="Times New Roman"/>
          <w:b/>
          <w:bCs/>
          <w:i/>
          <w:color w:val="000000" w:themeColor="text1"/>
          <w:lang w:eastAsia="fr-FR"/>
        </w:rPr>
        <w:t>du capital humain résultant</w:t>
      </w:r>
      <w:r w:rsidRPr="00797ED5">
        <w:rPr>
          <w:rFonts w:ascii="Times New Roman" w:eastAsia="Times New Roman" w:hAnsi="Times New Roman" w:cs="Times New Roman"/>
          <w:b/>
          <w:bCs/>
          <w:i/>
          <w:color w:val="000000" w:themeColor="text1"/>
          <w:lang w:eastAsia="fr-FR"/>
        </w:rPr>
        <w:t>.</w:t>
      </w:r>
      <w:r w:rsidRPr="00F410D5">
        <w:rPr>
          <w:rFonts w:ascii="Times New Roman" w:eastAsia="Times New Roman" w:hAnsi="Times New Roman" w:cs="Times New Roman"/>
          <w:b/>
          <w:bCs/>
          <w:color w:val="000000" w:themeColor="text1"/>
          <w:lang w:eastAsia="fr-FR"/>
        </w:rPr>
        <w:t xml:space="preserve"> </w:t>
      </w:r>
      <w:r w:rsidR="00FA3121">
        <w:rPr>
          <w:rFonts w:ascii="Times New Roman" w:hAnsi="Times New Roman" w:cs="Times New Roman"/>
          <w:lang w:eastAsia="fr-FR"/>
        </w:rPr>
        <w:t>Le caractère m</w:t>
      </w:r>
      <w:r w:rsidR="00FA3121">
        <w:rPr>
          <w:rFonts w:ascii="Times New Roman" w:eastAsia="Times New Roman" w:hAnsi="Times New Roman" w:cs="Times New Roman"/>
          <w:lang w:eastAsia="fr-FR"/>
        </w:rPr>
        <w:t>ultidimensionnel de ce problème afin de</w:t>
      </w:r>
      <w:r w:rsidR="00FA3121" w:rsidRPr="00EC2972">
        <w:rPr>
          <w:rFonts w:ascii="Times New Roman" w:eastAsia="Times New Roman" w:hAnsi="Times New Roman" w:cs="Times New Roman"/>
          <w:lang w:eastAsia="fr-FR"/>
        </w:rPr>
        <w:t xml:space="preserve"> rendre compte de l’effet négatif des interrelations Population et Développement humain. Il s’agit de</w:t>
      </w:r>
      <w:r w:rsidR="00FA3121">
        <w:rPr>
          <w:rFonts w:ascii="Times New Roman" w:eastAsia="Times New Roman" w:hAnsi="Times New Roman" w:cs="Times New Roman"/>
          <w:lang w:eastAsia="fr-FR"/>
        </w:rPr>
        <w:t xml:space="preserve"> </w:t>
      </w:r>
      <w:r>
        <w:rPr>
          <w:rFonts w:ascii="Times New Roman" w:eastAsia="Times New Roman" w:hAnsi="Times New Roman" w:cs="Times New Roman"/>
          <w:lang w:eastAsia="fr-FR"/>
        </w:rPr>
        <w:t>(i)</w:t>
      </w:r>
      <w:r w:rsidRPr="005A5E5B">
        <w:rPr>
          <w:rFonts w:ascii="Times New Roman" w:eastAsia="Times New Roman" w:hAnsi="Times New Roman" w:cs="Times New Roman"/>
          <w:lang w:eastAsia="fr-FR"/>
        </w:rPr>
        <w:t xml:space="preserve"> </w:t>
      </w:r>
      <w:r w:rsidRPr="00797ED5">
        <w:rPr>
          <w:rFonts w:ascii="Times New Roman" w:hAnsi="Times New Roman" w:cs="Times New Roman"/>
          <w:i/>
        </w:rPr>
        <w:t xml:space="preserve">Faible accès aux services de santé y compris de reproduction, maternelle, néonatale et infantile et de nutrition (SRMNIN) ; (ii)  </w:t>
      </w:r>
      <w:r w:rsidRPr="00797ED5">
        <w:rPr>
          <w:rFonts w:ascii="Times New Roman" w:eastAsia="Times New Roman" w:hAnsi="Times New Roman" w:cs="Times New Roman"/>
          <w:i/>
          <w:lang w:eastAsia="fr-FR"/>
        </w:rPr>
        <w:t xml:space="preserve">Faible accès aux services d’éducation et de formation de qualité ; (iii) Faible accès aux services d’eau, d’hygiène et d’assainissement ;(iv) </w:t>
      </w:r>
      <w:r w:rsidRPr="00797ED5">
        <w:rPr>
          <w:rFonts w:ascii="Times New Roman" w:hAnsi="Times New Roman" w:cs="Times New Roman"/>
          <w:i/>
        </w:rPr>
        <w:t>Faible accès à l’emploi décent et à un système de protection sociale favorable aux groupes vulnérables.</w:t>
      </w:r>
    </w:p>
    <w:p w14:paraId="6F733643" w14:textId="77777777" w:rsidR="0028280C" w:rsidRPr="00E25B1F" w:rsidRDefault="0028280C" w:rsidP="00E25B1F">
      <w:pPr>
        <w:pStyle w:val="Titre2"/>
        <w:rPr>
          <w:rFonts w:ascii="Bernard MT Condensed" w:hAnsi="Bernard MT Condensed"/>
        </w:rPr>
      </w:pPr>
      <w:bookmarkStart w:id="165" w:name="_Toc84789677"/>
      <w:bookmarkStart w:id="166" w:name="_Toc86687728"/>
      <w:bookmarkStart w:id="167" w:name="_Toc89479410"/>
      <w:bookmarkStart w:id="168" w:name="_Toc89480908"/>
      <w:bookmarkStart w:id="169" w:name="_Toc94480150"/>
      <w:bookmarkStart w:id="170" w:name="_Toc94481811"/>
      <w:bookmarkStart w:id="171" w:name="_Toc94482074"/>
      <w:r w:rsidRPr="00E25B1F">
        <w:rPr>
          <w:rFonts w:ascii="Bernard MT Condensed" w:hAnsi="Bernard MT Condensed"/>
        </w:rPr>
        <w:lastRenderedPageBreak/>
        <w:t>I.5 - Etat des lieux sur la Situation humanitaire</w:t>
      </w:r>
      <w:bookmarkEnd w:id="165"/>
      <w:bookmarkEnd w:id="166"/>
      <w:bookmarkEnd w:id="167"/>
      <w:bookmarkEnd w:id="168"/>
      <w:bookmarkEnd w:id="169"/>
      <w:bookmarkEnd w:id="170"/>
      <w:bookmarkEnd w:id="171"/>
    </w:p>
    <w:p w14:paraId="304397E3" w14:textId="20C1666C" w:rsidR="00C35C18" w:rsidRPr="009462B8" w:rsidRDefault="00C35C18" w:rsidP="00C35C18">
      <w:pPr>
        <w:spacing w:before="240" w:after="240"/>
        <w:jc w:val="both"/>
        <w:rPr>
          <w:rFonts w:ascii="Times New Roman" w:eastAsia="Arial" w:hAnsi="Times New Roman" w:cs="Times New Roman"/>
          <w:bCs/>
        </w:rPr>
      </w:pPr>
      <w:r w:rsidRPr="005B398A">
        <w:rPr>
          <w:rFonts w:ascii="Times New Roman" w:eastAsia="Arial" w:hAnsi="Times New Roman" w:cs="Times New Roman"/>
          <w:bCs/>
        </w:rPr>
        <w:t xml:space="preserve">Le Niger est confronté à plusieurs urgences qui défient </w:t>
      </w:r>
      <w:r>
        <w:rPr>
          <w:rFonts w:ascii="Times New Roman" w:eastAsia="Arial" w:hAnsi="Times New Roman" w:cs="Times New Roman"/>
          <w:bCs/>
        </w:rPr>
        <w:t>l</w:t>
      </w:r>
      <w:r w:rsidRPr="005B398A">
        <w:rPr>
          <w:rFonts w:ascii="Times New Roman" w:eastAsia="Arial" w:hAnsi="Times New Roman" w:cs="Times New Roman"/>
          <w:bCs/>
        </w:rPr>
        <w:t xml:space="preserve">es capacités de réponse de l’état. La crise humanitaire </w:t>
      </w:r>
      <w:r>
        <w:rPr>
          <w:rFonts w:ascii="Times New Roman" w:eastAsia="Arial" w:hAnsi="Times New Roman" w:cs="Times New Roman"/>
          <w:bCs/>
        </w:rPr>
        <w:t xml:space="preserve">est </w:t>
      </w:r>
      <w:r w:rsidRPr="005B398A">
        <w:rPr>
          <w:rFonts w:ascii="Times New Roman" w:eastAsia="Arial" w:hAnsi="Times New Roman" w:cs="Times New Roman"/>
          <w:bCs/>
        </w:rPr>
        <w:t xml:space="preserve">persistante </w:t>
      </w:r>
      <w:r>
        <w:rPr>
          <w:rFonts w:ascii="Times New Roman" w:eastAsia="Arial" w:hAnsi="Times New Roman" w:cs="Times New Roman"/>
          <w:bCs/>
        </w:rPr>
        <w:t xml:space="preserve">et </w:t>
      </w:r>
      <w:r w:rsidRPr="005B398A">
        <w:rPr>
          <w:rFonts w:ascii="Times New Roman" w:eastAsia="Arial" w:hAnsi="Times New Roman" w:cs="Times New Roman"/>
          <w:bCs/>
        </w:rPr>
        <w:t>s’aggrave en raison notamment de la crise sécuritaire. Cette dernière est exacerbée par les vulnérabilités socio-économiques préexistantes et l’instabilité croissante dans les pays voisins, ce qui entraîne un afflux de milliers de réfugiés et de déplacés internes ainsi qu’une détérioration de l’accès déjà limité aux services sociaux de base. La population – principalement les enfants et les femmes – est confrontée à la malnutrition, à l’insécurité alimentaire, aux épidémies récurrentes, aux inondations cycliques, à la séche</w:t>
      </w:r>
      <w:r w:rsidR="009462B8">
        <w:rPr>
          <w:rFonts w:ascii="Times New Roman" w:eastAsia="Arial" w:hAnsi="Times New Roman" w:cs="Times New Roman"/>
          <w:bCs/>
        </w:rPr>
        <w:t>resse, aux déplacements forcés.</w:t>
      </w:r>
    </w:p>
    <w:p w14:paraId="37A2ADF8" w14:textId="77777777" w:rsidR="00C35C18" w:rsidRPr="00933112" w:rsidRDefault="00C35C18" w:rsidP="00933112">
      <w:pPr>
        <w:pStyle w:val="Paragraphedeliste"/>
        <w:numPr>
          <w:ilvl w:val="0"/>
          <w:numId w:val="14"/>
        </w:numPr>
        <w:spacing w:before="240" w:after="240"/>
        <w:jc w:val="both"/>
        <w:rPr>
          <w:rFonts w:ascii="Times New Roman" w:eastAsia="Roboto" w:hAnsi="Times New Roman" w:cs="Times New Roman"/>
          <w:b/>
          <w:bCs/>
        </w:rPr>
      </w:pPr>
      <w:r w:rsidRPr="00933112">
        <w:rPr>
          <w:rFonts w:ascii="Times New Roman" w:eastAsia="Roboto" w:hAnsi="Times New Roman" w:cs="Times New Roman"/>
          <w:b/>
          <w:bCs/>
        </w:rPr>
        <w:t xml:space="preserve">Insécurité </w:t>
      </w:r>
    </w:p>
    <w:p w14:paraId="76F8C1A8" w14:textId="42B740A3" w:rsidR="00C35C18" w:rsidRPr="005B398A" w:rsidRDefault="00C35C18" w:rsidP="00C35C18">
      <w:pPr>
        <w:spacing w:before="240" w:after="240"/>
        <w:jc w:val="both"/>
        <w:rPr>
          <w:rFonts w:ascii="Times New Roman" w:hAnsi="Times New Roman" w:cs="Times New Roman"/>
        </w:rPr>
      </w:pPr>
      <w:r w:rsidRPr="005B398A">
        <w:rPr>
          <w:rFonts w:ascii="Times New Roman" w:eastAsia="Arial" w:hAnsi="Times New Roman" w:cs="Times New Roman"/>
        </w:rPr>
        <w:t>La situation sécuritaire reste marquée par la persistance et l’amplification des activités des Groupes Armés Non-Etatiques (GANE) dans le Sahel, principalement dans la zone des trois frontières (Burkina Faso, Mali, Niger) et le bassin du Lac Tchad. La situation reste également marquée par de graves violations des droits humains tels que des enlèvements à l’est du pays et des attaques sporadiques et meurtrières, souvent ciblées, contre des populations dans la zone des trois frontières (Tillabéri et Tahoua) ainsi que dans la région de Diffa et Maradi</w:t>
      </w:r>
      <w:r w:rsidRPr="005B398A">
        <w:rPr>
          <w:rStyle w:val="Appelnotedebasdep"/>
          <w:rFonts w:ascii="Times New Roman" w:eastAsia="Arial" w:hAnsi="Times New Roman" w:cs="Times New Roman"/>
        </w:rPr>
        <w:footnoteReference w:id="43"/>
      </w:r>
      <w:r w:rsidRPr="005B398A">
        <w:rPr>
          <w:rFonts w:ascii="Times New Roman" w:eastAsia="Arial" w:hAnsi="Times New Roman" w:cs="Times New Roman"/>
        </w:rPr>
        <w:t xml:space="preserve">. Les conflits intercommunautaires contribuent aussi à la dégradation du climat sécuritaire.  Au 30 septembre 2021, </w:t>
      </w:r>
      <w:r w:rsidRPr="005B398A">
        <w:rPr>
          <w:rFonts w:ascii="Times New Roman" w:eastAsia="Roboto" w:hAnsi="Times New Roman" w:cs="Times New Roman"/>
        </w:rPr>
        <w:t xml:space="preserve">le cluster protection </w:t>
      </w:r>
      <w:r>
        <w:rPr>
          <w:rFonts w:ascii="Times New Roman" w:eastAsia="Roboto" w:hAnsi="Times New Roman" w:cs="Times New Roman"/>
        </w:rPr>
        <w:t xml:space="preserve">a </w:t>
      </w:r>
      <w:r w:rsidRPr="005B398A">
        <w:rPr>
          <w:rFonts w:ascii="Times New Roman" w:eastAsia="Roboto" w:hAnsi="Times New Roman" w:cs="Times New Roman"/>
        </w:rPr>
        <w:t>not</w:t>
      </w:r>
      <w:r>
        <w:rPr>
          <w:rFonts w:ascii="Times New Roman" w:eastAsia="Roboto" w:hAnsi="Times New Roman" w:cs="Times New Roman"/>
        </w:rPr>
        <w:t>é</w:t>
      </w:r>
      <w:r w:rsidRPr="005B398A">
        <w:rPr>
          <w:rFonts w:ascii="Times New Roman" w:eastAsia="Roboto" w:hAnsi="Times New Roman" w:cs="Times New Roman"/>
        </w:rPr>
        <w:t xml:space="preserve"> un total de 3 298 incidents de protection dans les 4 régions</w:t>
      </w:r>
      <w:r w:rsidRPr="005B398A">
        <w:rPr>
          <w:rFonts w:ascii="Times New Roman" w:hAnsi="Times New Roman" w:cs="Times New Roman"/>
          <w:sz w:val="20"/>
          <w:szCs w:val="20"/>
        </w:rPr>
        <w:t xml:space="preserve"> </w:t>
      </w:r>
      <w:r w:rsidRPr="005B398A">
        <w:rPr>
          <w:rFonts w:ascii="Times New Roman" w:eastAsia="Roboto" w:hAnsi="Times New Roman" w:cs="Times New Roman"/>
        </w:rPr>
        <w:t>concernées, pour plus de 10 484 victimes. On dénombre 1 285 cas à Diffa (extorsions de biens, taxations illégales, agressions physiques ainsi qu’une forte hausse des enlèvements), 519 cas à Tillabéri (présence d’EEI, enlèvements, assassinats et extorsions de biens en hausse), 1 047 cas à Tahoua (agressions physiques, meurtres, vols et pillages), et 447 cas à Maradi (agressions physiques, les vols, pillages et enlèvements)</w:t>
      </w:r>
      <w:r w:rsidRPr="005B398A">
        <w:rPr>
          <w:rStyle w:val="Appelnotedebasdep"/>
          <w:rFonts w:ascii="Times New Roman" w:hAnsi="Times New Roman" w:cs="Times New Roman"/>
        </w:rPr>
        <w:footnoteReference w:id="44"/>
      </w:r>
      <w:r w:rsidRPr="005B398A">
        <w:rPr>
          <w:rFonts w:ascii="Times New Roman" w:eastAsia="Roboto" w:hAnsi="Times New Roman" w:cs="Times New Roman"/>
        </w:rPr>
        <w:t>.</w:t>
      </w:r>
      <w:r w:rsidRPr="005B398A">
        <w:rPr>
          <w:rFonts w:ascii="Times New Roman" w:hAnsi="Times New Roman" w:cs="Times New Roman"/>
        </w:rPr>
        <w:t xml:space="preserve"> </w:t>
      </w:r>
    </w:p>
    <w:p w14:paraId="402A3D92" w14:textId="77777777" w:rsidR="00C35C18" w:rsidRPr="005B398A" w:rsidRDefault="00C35C18" w:rsidP="00C35C18">
      <w:pPr>
        <w:spacing w:before="240" w:after="240"/>
        <w:jc w:val="both"/>
        <w:rPr>
          <w:rFonts w:ascii="Times New Roman" w:eastAsia="Roboto" w:hAnsi="Times New Roman" w:cs="Times New Roman"/>
        </w:rPr>
      </w:pPr>
      <w:r w:rsidRPr="005B398A">
        <w:rPr>
          <w:rFonts w:ascii="Times New Roman" w:eastAsia="Roboto" w:hAnsi="Times New Roman" w:cs="Times New Roman"/>
        </w:rPr>
        <w:t>Les déplacements forcés constituent un problème majeur qui affecte les populations. L’insécurité observée dans les départements environnant les zones des trois frontières et le lac Tchad continue à provoquer des mouvements de population. Au 30 septembre 2021, environ 549 000 personnes étaient en situation de déplacement forcé dont 264 257 personnes déplacées internes (PDI), 249 765 réfugiés provenant essentiellement du Nigéria et du Mali. 35 445 nigériens qui avaient migré au Nigéria sont également retournés au Niger, notamment dans la région de Diffa et ce, toujours à cause de l’insécurité qui sévit au Nigéria</w:t>
      </w:r>
      <w:r w:rsidRPr="005B398A">
        <w:rPr>
          <w:rStyle w:val="Appelnotedebasdep"/>
          <w:rFonts w:ascii="Times New Roman" w:eastAsia="Roboto" w:hAnsi="Times New Roman" w:cs="Times New Roman"/>
        </w:rPr>
        <w:footnoteReference w:id="45"/>
      </w:r>
      <w:r w:rsidRPr="005B398A">
        <w:rPr>
          <w:rFonts w:ascii="Times New Roman" w:eastAsia="Roboto" w:hAnsi="Times New Roman" w:cs="Times New Roman"/>
        </w:rPr>
        <w:t xml:space="preserve">. </w:t>
      </w:r>
    </w:p>
    <w:p w14:paraId="3224FA34" w14:textId="6DCEC40A" w:rsidR="00C35C18" w:rsidRPr="005B398A" w:rsidRDefault="00C35C18" w:rsidP="00C35C18">
      <w:pPr>
        <w:spacing w:before="240" w:after="240"/>
        <w:jc w:val="both"/>
        <w:rPr>
          <w:rFonts w:ascii="Times New Roman" w:eastAsia="Roboto" w:hAnsi="Times New Roman" w:cs="Times New Roman"/>
        </w:rPr>
      </w:pPr>
      <w:r w:rsidRPr="005B398A">
        <w:rPr>
          <w:rFonts w:ascii="Times New Roman" w:eastAsia="Roboto" w:hAnsi="Times New Roman" w:cs="Times New Roman"/>
        </w:rPr>
        <w:t>Le nombre des personnes déplacées a presque doublé au cours des trois dernières années. Il était de 146 082 à la même période en 2019</w:t>
      </w:r>
      <w:r w:rsidRPr="005B398A">
        <w:rPr>
          <w:rStyle w:val="Appelnotedebasdep"/>
          <w:rFonts w:ascii="Times New Roman" w:eastAsia="Roboto" w:hAnsi="Times New Roman" w:cs="Times New Roman"/>
        </w:rPr>
        <w:footnoteReference w:id="46"/>
      </w:r>
      <w:r w:rsidRPr="005B398A">
        <w:rPr>
          <w:rFonts w:ascii="Times New Roman" w:eastAsia="Roboto" w:hAnsi="Times New Roman" w:cs="Times New Roman"/>
        </w:rPr>
        <w:t>. Les régions qui continuent à être les plus affectées par ces mouvements de population sont Diffa (5 départements du 6), Maradi (2 départements sur 8), Tahoua (2 départements sur 12) et Tillabéri (8 départements sur 13).</w:t>
      </w:r>
      <w:r>
        <w:rPr>
          <w:rFonts w:ascii="Times New Roman" w:eastAsia="Roboto" w:hAnsi="Times New Roman" w:cs="Times New Roman"/>
        </w:rPr>
        <w:t xml:space="preserve"> </w:t>
      </w:r>
      <w:r w:rsidRPr="005B398A">
        <w:rPr>
          <w:rFonts w:ascii="Times New Roman" w:eastAsia="Roboto" w:hAnsi="Times New Roman" w:cs="Times New Roman"/>
        </w:rPr>
        <w:t>Le processus de retour des PDI organisé par les autorités nationales depuis le mois de mai 2021 à Tillabéri et en juin à Diffa, a favorisé le retour dans les localités d’origine de respectivement de 15 856</w:t>
      </w:r>
      <w:r w:rsidRPr="005B398A">
        <w:rPr>
          <w:rStyle w:val="Appelnotedebasdep"/>
          <w:rFonts w:ascii="Times New Roman" w:eastAsia="Roboto" w:hAnsi="Times New Roman" w:cs="Times New Roman"/>
        </w:rPr>
        <w:footnoteReference w:id="47"/>
      </w:r>
      <w:r w:rsidRPr="005B398A">
        <w:rPr>
          <w:rFonts w:ascii="Times New Roman" w:eastAsia="Roboto" w:hAnsi="Times New Roman" w:cs="Times New Roman"/>
        </w:rPr>
        <w:t xml:space="preserve"> et 40 138</w:t>
      </w:r>
      <w:r w:rsidRPr="005B398A">
        <w:rPr>
          <w:rStyle w:val="Appelnotedebasdep"/>
          <w:rFonts w:ascii="Times New Roman" w:eastAsia="Roboto" w:hAnsi="Times New Roman" w:cs="Times New Roman"/>
        </w:rPr>
        <w:footnoteReference w:id="48"/>
      </w:r>
      <w:r w:rsidRPr="005B398A">
        <w:rPr>
          <w:rFonts w:ascii="Times New Roman" w:eastAsia="Roboto" w:hAnsi="Times New Roman" w:cs="Times New Roman"/>
        </w:rPr>
        <w:t xml:space="preserve"> personnes dans ces deux régions. </w:t>
      </w:r>
    </w:p>
    <w:p w14:paraId="4F9F7049" w14:textId="77777777" w:rsidR="00C35C18" w:rsidRPr="005B398A" w:rsidRDefault="00C35C18" w:rsidP="00C35C18">
      <w:pPr>
        <w:spacing w:before="240" w:after="240"/>
        <w:jc w:val="both"/>
        <w:rPr>
          <w:rFonts w:ascii="Times New Roman" w:eastAsia="Roboto" w:hAnsi="Times New Roman" w:cs="Times New Roman"/>
        </w:rPr>
      </w:pPr>
      <w:r w:rsidRPr="005B398A">
        <w:rPr>
          <w:rFonts w:ascii="Times New Roman" w:eastAsia="Roboto" w:hAnsi="Times New Roman" w:cs="Times New Roman"/>
        </w:rPr>
        <w:t xml:space="preserve">L’insécurité liée aux activités des GANE continue de provoquer d'importants déplacements de population dans les régions de Tillabéri, Tahoua et Diffa, entraînant une perturbation des activités agricoles et de commercialisation dans les zones affectées. L’état d’urgence instauré dans ces régions a engendré plusieurs mesures restrictives, notamment la fermeture de plusieurs marchés hebdomadaires et des restrictions sur les transports par camion. Actuellement, 21 marchés ruraux restent fermés ou non </w:t>
      </w:r>
      <w:r w:rsidRPr="005B398A">
        <w:rPr>
          <w:rFonts w:ascii="Times New Roman" w:eastAsia="Roboto" w:hAnsi="Times New Roman" w:cs="Times New Roman"/>
        </w:rPr>
        <w:lastRenderedPageBreak/>
        <w:t>fonctionnels, dont 14 dans les départements d’Abala, Ayorou, Banibangou et Ouallam (Tillabéry), 2 dans les départements de Bosso et Diffa (Diffa) et 5 dans les départements de Tassara et Tillia (Tahoua).</w:t>
      </w:r>
    </w:p>
    <w:p w14:paraId="32A380BB" w14:textId="77777777" w:rsidR="00C35C18" w:rsidRPr="005B398A" w:rsidRDefault="00C35C18" w:rsidP="00C35C18">
      <w:pPr>
        <w:pStyle w:val="Commentaire"/>
        <w:jc w:val="both"/>
        <w:rPr>
          <w:rFonts w:ascii="Times New Roman" w:eastAsia="Roboto" w:hAnsi="Times New Roman" w:cs="Times New Roman"/>
          <w:szCs w:val="22"/>
        </w:rPr>
      </w:pPr>
      <w:r w:rsidRPr="005B398A">
        <w:rPr>
          <w:rFonts w:ascii="Times New Roman" w:eastAsia="Roboto" w:hAnsi="Times New Roman" w:cs="Times New Roman"/>
          <w:szCs w:val="22"/>
        </w:rPr>
        <w:t>Les conflits et l'insécurité s’accompagnent toujours d’une augmentation de violation des droits humains. Selon le cluster protection, le nombre d’incidents de protection s’est accru au cours des trois dernières années, passant de 1 498 en 2019 à 3 373 au 30 septembre 2021, soit une augmentation de plus de 125 pour cent</w:t>
      </w:r>
      <w:r w:rsidRPr="005B398A">
        <w:rPr>
          <w:rFonts w:ascii="Times New Roman" w:eastAsia="Roboto" w:hAnsi="Times New Roman" w:cs="Times New Roman"/>
          <w:szCs w:val="22"/>
          <w:vertAlign w:val="superscript"/>
        </w:rPr>
        <w:footnoteReference w:id="49"/>
      </w:r>
      <w:r w:rsidRPr="005B398A">
        <w:rPr>
          <w:rFonts w:ascii="Times New Roman" w:eastAsia="Roboto" w:hAnsi="Times New Roman" w:cs="Times New Roman"/>
          <w:szCs w:val="22"/>
        </w:rPr>
        <w:t>. Les principales violations enregistrées incluent les vols, extorsions de biens et pillages dans toutes les sous-régions, les agressions physiques à Tahoua (départements de Tassara, Tilia et Tahoua sont particulièrement affectés) et à Maradi (Gabi, Tribri et Safo). A Diffa, ce sont principalement les enlèvements (N’Guigmi, Gueskerou et Kablewa), et à Tillabéri (Banibangou, Ouallam, Ayerou et Tillabéri), ce sont les assassinats/meurtres et enlèvements</w:t>
      </w:r>
      <w:r w:rsidRPr="005B398A">
        <w:rPr>
          <w:rFonts w:ascii="Times New Roman" w:eastAsia="Roboto" w:hAnsi="Times New Roman" w:cs="Times New Roman"/>
          <w:szCs w:val="22"/>
          <w:vertAlign w:val="superscript"/>
        </w:rPr>
        <w:footnoteReference w:id="50"/>
      </w:r>
      <w:r w:rsidRPr="005B398A">
        <w:rPr>
          <w:rFonts w:ascii="Times New Roman" w:eastAsia="Roboto" w:hAnsi="Times New Roman" w:cs="Times New Roman"/>
          <w:szCs w:val="22"/>
        </w:rPr>
        <w:t xml:space="preserve">.  </w:t>
      </w:r>
    </w:p>
    <w:p w14:paraId="458E421A" w14:textId="77777777" w:rsidR="00C35C18" w:rsidRPr="005B398A" w:rsidRDefault="00C35C18" w:rsidP="00C35C18">
      <w:pPr>
        <w:spacing w:before="240" w:after="240"/>
        <w:jc w:val="both"/>
        <w:rPr>
          <w:rFonts w:ascii="Times New Roman" w:eastAsia="Roboto" w:hAnsi="Times New Roman" w:cs="Times New Roman"/>
        </w:rPr>
      </w:pPr>
      <w:r w:rsidRPr="005B398A">
        <w:rPr>
          <w:rFonts w:ascii="Times New Roman" w:eastAsia="Roboto" w:hAnsi="Times New Roman" w:cs="Times New Roman"/>
        </w:rPr>
        <w:t>Du 1er janvier au septembre, le cluster protection, à travers le GBVIMS, a enregistré 3 383 cas de violences basées sur le genre (VBG) dans les 4 régions où la base de données est opérationnelle (Tahoua, Maradi, Tillabéri et Zinder), soit une augmentation de 3 pour cent par rapport à l'année dernière qui était de 3 261. Les régions ayant rapporté le plus de cas sont Maradi (856 cas) et Tillabéri (816 cas)</w:t>
      </w:r>
      <w:r w:rsidRPr="005B398A">
        <w:rPr>
          <w:rFonts w:ascii="Times New Roman" w:eastAsia="Roboto" w:hAnsi="Times New Roman" w:cs="Times New Roman"/>
          <w:vertAlign w:val="superscript"/>
        </w:rPr>
        <w:footnoteReference w:id="51"/>
      </w:r>
      <w:r w:rsidRPr="005B398A">
        <w:rPr>
          <w:rFonts w:ascii="Times New Roman" w:eastAsia="Roboto" w:hAnsi="Times New Roman" w:cs="Times New Roman"/>
        </w:rPr>
        <w:t>.</w:t>
      </w:r>
    </w:p>
    <w:p w14:paraId="7D8AB3D0" w14:textId="77777777" w:rsidR="00C35C18" w:rsidRPr="00933112" w:rsidRDefault="00C35C18" w:rsidP="00933112">
      <w:pPr>
        <w:pStyle w:val="Paragraphedeliste"/>
        <w:numPr>
          <w:ilvl w:val="0"/>
          <w:numId w:val="14"/>
        </w:numPr>
        <w:spacing w:before="240" w:after="240"/>
        <w:jc w:val="both"/>
        <w:rPr>
          <w:rFonts w:ascii="Times New Roman" w:eastAsia="Roboto" w:hAnsi="Times New Roman" w:cs="Times New Roman"/>
          <w:b/>
        </w:rPr>
      </w:pPr>
      <w:r w:rsidRPr="00933112">
        <w:rPr>
          <w:rFonts w:ascii="Times New Roman" w:eastAsia="Roboto" w:hAnsi="Times New Roman" w:cs="Times New Roman"/>
          <w:b/>
        </w:rPr>
        <w:t>Inondations</w:t>
      </w:r>
    </w:p>
    <w:p w14:paraId="0AEDBA40" w14:textId="61E0CCFA" w:rsidR="00C35C18" w:rsidRPr="005B398A" w:rsidRDefault="00C35C18" w:rsidP="00C35C18">
      <w:pPr>
        <w:spacing w:before="240" w:after="240"/>
        <w:jc w:val="both"/>
        <w:rPr>
          <w:rFonts w:ascii="Times New Roman" w:eastAsia="Roboto" w:hAnsi="Times New Roman" w:cs="Times New Roman"/>
        </w:rPr>
      </w:pPr>
      <w:r w:rsidRPr="005B398A">
        <w:rPr>
          <w:rFonts w:ascii="Times New Roman" w:eastAsia="Roboto" w:hAnsi="Times New Roman" w:cs="Times New Roman"/>
        </w:rPr>
        <w:t>Si, en général, la principale cause des déplacements reste les conflits armés, à Niamey, ce sont les inondations qui sont à la base du déplacement des populations. En effet, le MAH/GC rapporte plus de 40 000 personnes déplacées depuis l’année dernière à Niamey à la suite des inondations qui avaient été provoquées par les pluies diluviennes. Ces personnes demeurent sur le site de Gamou qui avait été mis en place pour les accueillir.</w:t>
      </w:r>
      <w:r w:rsidR="00933112">
        <w:rPr>
          <w:rFonts w:ascii="Times New Roman" w:eastAsia="Roboto" w:hAnsi="Times New Roman" w:cs="Times New Roman"/>
        </w:rPr>
        <w:t xml:space="preserve"> </w:t>
      </w:r>
      <w:r w:rsidRPr="005B398A">
        <w:rPr>
          <w:rFonts w:ascii="Times New Roman" w:eastAsia="Roboto" w:hAnsi="Times New Roman" w:cs="Times New Roman"/>
        </w:rPr>
        <w:t>Malgré un impact largement inférieur à celui de 2020, les pluies diluviennes ont continué de provoquer des mouvements de population en 2021. Au 20 septembre 2021, 31 181 ménages sinistrés, soit un peu plus de 238 000 personnes qui sont, pour la grande majorité, hébergée dans des familles d’accueil</w:t>
      </w:r>
      <w:r w:rsidRPr="005B398A">
        <w:rPr>
          <w:rStyle w:val="Appelnotedebasdep"/>
          <w:rFonts w:ascii="Times New Roman" w:eastAsia="Roboto" w:hAnsi="Times New Roman" w:cs="Times New Roman"/>
        </w:rPr>
        <w:footnoteReference w:id="52"/>
      </w:r>
      <w:r w:rsidRPr="005B398A">
        <w:rPr>
          <w:rFonts w:ascii="Times New Roman" w:eastAsia="Roboto" w:hAnsi="Times New Roman" w:cs="Times New Roman"/>
        </w:rPr>
        <w:t xml:space="preserve">. Ce chiffre représente un peu moins de 50 pour cent de cas enregistrés en 2020 au cours de la même période.  </w:t>
      </w:r>
    </w:p>
    <w:p w14:paraId="5D0EE318" w14:textId="77777777" w:rsidR="00C35C18" w:rsidRPr="00933112" w:rsidRDefault="00C35C18" w:rsidP="00933112">
      <w:pPr>
        <w:pStyle w:val="Paragraphedeliste"/>
        <w:numPr>
          <w:ilvl w:val="0"/>
          <w:numId w:val="14"/>
        </w:numPr>
        <w:spacing w:before="240" w:after="240"/>
        <w:jc w:val="both"/>
        <w:rPr>
          <w:rFonts w:ascii="Times New Roman" w:eastAsia="Roboto" w:hAnsi="Times New Roman" w:cs="Times New Roman"/>
          <w:b/>
        </w:rPr>
      </w:pPr>
      <w:r w:rsidRPr="00933112">
        <w:rPr>
          <w:rFonts w:ascii="Times New Roman" w:eastAsia="Arial" w:hAnsi="Times New Roman" w:cs="Times New Roman"/>
          <w:b/>
        </w:rPr>
        <w:t>Insécurité alimentaire, moyens de subsistance et malnutrition</w:t>
      </w:r>
    </w:p>
    <w:p w14:paraId="1F2AF240" w14:textId="41FCE2EA" w:rsidR="00C35C18" w:rsidRPr="005B398A" w:rsidRDefault="00C35C18" w:rsidP="00C35C18">
      <w:pPr>
        <w:spacing w:before="240" w:after="240"/>
        <w:jc w:val="both"/>
        <w:rPr>
          <w:rFonts w:ascii="Times New Roman" w:eastAsia="Roboto" w:hAnsi="Times New Roman" w:cs="Times New Roman"/>
        </w:rPr>
      </w:pPr>
      <w:r w:rsidRPr="005B398A">
        <w:rPr>
          <w:rFonts w:ascii="Times New Roman" w:eastAsia="Roboto" w:hAnsi="Times New Roman" w:cs="Times New Roman"/>
        </w:rPr>
        <w:t xml:space="preserve">Le pays fait face depuis quelques années à des crises alimentaires aiguës qui sont aggravées par les effets du changement climatique. Les effets les plus visibles du changement climatique au Niger se traduisent par la sécheresse et une diminution et </w:t>
      </w:r>
      <w:r w:rsidR="00933112">
        <w:rPr>
          <w:rFonts w:ascii="Times New Roman" w:eastAsia="Roboto" w:hAnsi="Times New Roman" w:cs="Times New Roman"/>
        </w:rPr>
        <w:t xml:space="preserve">une </w:t>
      </w:r>
      <w:r w:rsidRPr="005B398A">
        <w:rPr>
          <w:rFonts w:ascii="Times New Roman" w:eastAsia="Roboto" w:hAnsi="Times New Roman" w:cs="Times New Roman"/>
        </w:rPr>
        <w:t>mauvaise répartition des précipitations. A cela, il faut ajouter l’avancée continue de la désertification et les tempêtes de sable qui, combinées au déboisement et aux températures extrêmes, ensevelissent les points d’eau habituels des éleveurs et des agriculteurs. Selon l’indice mondial des risques climatiques, le Niger est le 9</w:t>
      </w:r>
      <w:r w:rsidRPr="005B398A">
        <w:rPr>
          <w:rFonts w:ascii="Times New Roman" w:eastAsia="Roboto" w:hAnsi="Times New Roman" w:cs="Times New Roman"/>
          <w:vertAlign w:val="superscript"/>
        </w:rPr>
        <w:t>e</w:t>
      </w:r>
      <w:r w:rsidRPr="005B398A">
        <w:rPr>
          <w:rFonts w:ascii="Times New Roman" w:eastAsia="Roboto" w:hAnsi="Times New Roman" w:cs="Times New Roman"/>
        </w:rPr>
        <w:t xml:space="preserve"> pays le plus touché au monde par les évènements météorologiques extrêmes</w:t>
      </w:r>
      <w:r w:rsidRPr="005B398A">
        <w:rPr>
          <w:rStyle w:val="Appelnotedebasdep"/>
          <w:rFonts w:ascii="Times New Roman" w:eastAsia="Roboto" w:hAnsi="Times New Roman" w:cs="Times New Roman"/>
        </w:rPr>
        <w:footnoteReference w:id="53"/>
      </w:r>
      <w:r w:rsidRPr="005B398A">
        <w:rPr>
          <w:rFonts w:ascii="Times New Roman" w:eastAsia="Roboto" w:hAnsi="Times New Roman" w:cs="Times New Roman"/>
        </w:rPr>
        <w:t xml:space="preserve">. </w:t>
      </w:r>
    </w:p>
    <w:p w14:paraId="4D9C559E" w14:textId="77777777" w:rsidR="00C35C18" w:rsidRPr="005B398A" w:rsidRDefault="00C35C18" w:rsidP="00C35C18">
      <w:pPr>
        <w:spacing w:before="240" w:after="240"/>
        <w:jc w:val="both"/>
        <w:rPr>
          <w:rFonts w:ascii="Times New Roman" w:eastAsia="Roboto" w:hAnsi="Times New Roman" w:cs="Times New Roman"/>
        </w:rPr>
      </w:pPr>
      <w:r w:rsidRPr="005B398A">
        <w:rPr>
          <w:rFonts w:ascii="Times New Roman" w:eastAsia="Roboto" w:hAnsi="Times New Roman" w:cs="Times New Roman"/>
        </w:rPr>
        <w:t xml:space="preserve">Le changement climatique combiné à la croissance démographique affecte les productions agropastorales et le développement social économique du pays alors que l’agriculture et l’élevage sont les principales sources de revenus de la population. Au Niger, la pression anthropique agit en synergie </w:t>
      </w:r>
      <w:r w:rsidRPr="005B398A">
        <w:rPr>
          <w:rFonts w:ascii="Times New Roman" w:eastAsia="Roboto" w:hAnsi="Times New Roman" w:cs="Times New Roman"/>
        </w:rPr>
        <w:lastRenderedPageBreak/>
        <w:t>avec les facteurs climatiques sur la dégradation des terres</w:t>
      </w:r>
      <w:r w:rsidRPr="005B398A">
        <w:rPr>
          <w:rFonts w:ascii="Times New Roman" w:eastAsia="Roboto" w:hAnsi="Times New Roman" w:cs="Times New Roman"/>
          <w:i/>
        </w:rPr>
        <w:t>.</w:t>
      </w:r>
      <w:r w:rsidRPr="005B398A">
        <w:rPr>
          <w:rFonts w:ascii="Times New Roman" w:eastAsia="Roboto" w:hAnsi="Times New Roman" w:cs="Times New Roman"/>
        </w:rPr>
        <w:t xml:space="preserve"> Il faut noter que chaque année 100 000 ha de terres cultivables sont perdus à cause de l’érosion des sols</w:t>
      </w:r>
      <w:r w:rsidRPr="005B398A">
        <w:rPr>
          <w:rStyle w:val="Appelnotedebasdep"/>
          <w:rFonts w:ascii="Times New Roman" w:eastAsia="Roboto" w:hAnsi="Times New Roman" w:cs="Times New Roman"/>
        </w:rPr>
        <w:footnoteReference w:id="54"/>
      </w:r>
      <w:r w:rsidRPr="005B398A">
        <w:rPr>
          <w:rFonts w:ascii="Times New Roman" w:eastAsia="Roboto" w:hAnsi="Times New Roman" w:cs="Times New Roman"/>
        </w:rPr>
        <w:t>.</w:t>
      </w:r>
    </w:p>
    <w:p w14:paraId="018D7C79" w14:textId="77777777" w:rsidR="00C35C18" w:rsidRPr="005B398A" w:rsidRDefault="00C35C18" w:rsidP="00C35C18">
      <w:pPr>
        <w:spacing w:before="240" w:after="240"/>
        <w:jc w:val="both"/>
        <w:rPr>
          <w:rFonts w:ascii="Times New Roman" w:eastAsia="Roboto" w:hAnsi="Times New Roman" w:cs="Times New Roman"/>
        </w:rPr>
      </w:pPr>
      <w:r w:rsidRPr="005B398A">
        <w:rPr>
          <w:rFonts w:ascii="Times New Roman" w:eastAsia="Roboto" w:hAnsi="Times New Roman" w:cs="Times New Roman"/>
        </w:rPr>
        <w:t>Selon le cadre harmonisé de mars 2021, 2,3 millions de personnes sont en insécurité alimentaire</w:t>
      </w:r>
      <w:r w:rsidRPr="005B398A">
        <w:rPr>
          <w:rStyle w:val="Appelnotedebasdep"/>
          <w:rFonts w:ascii="Times New Roman" w:eastAsia="Roboto" w:hAnsi="Times New Roman" w:cs="Times New Roman"/>
        </w:rPr>
        <w:footnoteReference w:id="55"/>
      </w:r>
      <w:r w:rsidRPr="005B398A">
        <w:rPr>
          <w:rFonts w:ascii="Times New Roman" w:eastAsia="Roboto" w:hAnsi="Times New Roman" w:cs="Times New Roman"/>
        </w:rPr>
        <w:t xml:space="preserve"> et environ 457 000 enfants de 6 à 59 mois sont en état de malnutrition</w:t>
      </w:r>
      <w:r w:rsidRPr="005B398A">
        <w:rPr>
          <w:rStyle w:val="Appelnotedebasdep"/>
          <w:rFonts w:ascii="Times New Roman" w:eastAsia="Roboto" w:hAnsi="Times New Roman" w:cs="Times New Roman"/>
        </w:rPr>
        <w:footnoteReference w:id="56"/>
      </w:r>
      <w:r w:rsidRPr="005B398A">
        <w:rPr>
          <w:rFonts w:ascii="Times New Roman" w:eastAsia="Roboto" w:hAnsi="Times New Roman" w:cs="Times New Roman"/>
        </w:rPr>
        <w:t>. Les prix élevés en 2021 affectent directement le pouvoir d'achat des ménages, et donc leur accès à une alimentation adéquate en termes de quantité et qualité. L’impact est particulièrement sévère sur les ménages agricoles pauvres dont la propre production est insuffisante pour répondre à leurs besoins alimentaires, ainsi que les ménages pauvres urbains qui dépendent de manière disproportionnée des achats sur le marché. Beaucoup de ces ménages dépendent de l’assistance humanitaire pour couvrir, au moins en partie, leurs besoins alimentaires de base.</w:t>
      </w:r>
      <w:r w:rsidRPr="005B398A">
        <w:rPr>
          <w:rStyle w:val="Appelnotedebasdep"/>
          <w:rFonts w:ascii="Times New Roman" w:eastAsia="Roboto" w:hAnsi="Times New Roman" w:cs="Times New Roman"/>
        </w:rPr>
        <w:footnoteReference w:id="57"/>
      </w:r>
    </w:p>
    <w:p w14:paraId="2BECDAEA" w14:textId="1AEA5066" w:rsidR="00C35C18" w:rsidRPr="005B398A" w:rsidRDefault="00C35C18" w:rsidP="00C35C18">
      <w:pPr>
        <w:spacing w:before="240" w:after="240"/>
        <w:jc w:val="both"/>
        <w:rPr>
          <w:rFonts w:ascii="Times New Roman" w:eastAsia="Roboto" w:hAnsi="Times New Roman" w:cs="Times New Roman"/>
        </w:rPr>
      </w:pPr>
      <w:r w:rsidRPr="005B398A">
        <w:rPr>
          <w:rFonts w:ascii="Times New Roman" w:eastAsia="Roboto" w:hAnsi="Times New Roman" w:cs="Times New Roman"/>
        </w:rPr>
        <w:t xml:space="preserve">Depuis fin 2020, on observe une hausse des prix supérieure à la moyenne saisonnière dans l’ensemble des pays d’Afrique de l’Ouest. Au Niger, cette tendance s’est vraiment accentuée à partir de mai 2012. Pour le mil, des hausses de plus de 30 pour cent par rapport à la moyenne saisonnière ont été enregistrées entre juillet et août 2021 dans presque toutes les régions du pays. Au Niger, la crise est principalement </w:t>
      </w:r>
      <w:r w:rsidR="00933112" w:rsidRPr="005B398A">
        <w:rPr>
          <w:rFonts w:ascii="Times New Roman" w:eastAsia="Roboto" w:hAnsi="Times New Roman" w:cs="Times New Roman"/>
        </w:rPr>
        <w:t>du</w:t>
      </w:r>
      <w:r w:rsidR="00933112">
        <w:rPr>
          <w:rFonts w:ascii="Times New Roman" w:eastAsia="Roboto" w:hAnsi="Times New Roman" w:cs="Times New Roman"/>
        </w:rPr>
        <w:t>e</w:t>
      </w:r>
      <w:r w:rsidRPr="005B398A">
        <w:rPr>
          <w:rFonts w:ascii="Times New Roman" w:eastAsia="Roboto" w:hAnsi="Times New Roman" w:cs="Times New Roman"/>
        </w:rPr>
        <w:t xml:space="preserve"> à la hausse des prix sur les marchés transfrontaliers du Nigéria et la baisse des export</w:t>
      </w:r>
      <w:r w:rsidR="00933112">
        <w:rPr>
          <w:rFonts w:ascii="Times New Roman" w:eastAsia="Roboto" w:hAnsi="Times New Roman" w:cs="Times New Roman"/>
        </w:rPr>
        <w:t>ations</w:t>
      </w:r>
      <w:r w:rsidRPr="005B398A">
        <w:rPr>
          <w:rFonts w:ascii="Times New Roman" w:eastAsia="Roboto" w:hAnsi="Times New Roman" w:cs="Times New Roman"/>
        </w:rPr>
        <w:t xml:space="preserve"> vers le Niger (entre autres à cause de la diminution de la production au nord Nigéria à cause de l’insécurité et les achats institutionnels par le gouvernement du Nigéria), l’impact de la COVID-19 sur le commerce transfrontalier, la dégradation de la situation sécuritaire au Niger et dans les pays voisins, des coûts élevés de transport, et les interdictions sur les exports de céréales imposées par certains pays de la région en 2021 (notamment le Burkina Faso et le Bénin).</w:t>
      </w:r>
      <w:r w:rsidRPr="005B398A">
        <w:rPr>
          <w:rStyle w:val="Appelnotedebasdep"/>
          <w:rFonts w:ascii="Times New Roman" w:eastAsia="Roboto" w:hAnsi="Times New Roman" w:cs="Times New Roman"/>
        </w:rPr>
        <w:footnoteReference w:id="58"/>
      </w:r>
    </w:p>
    <w:p w14:paraId="38971C40" w14:textId="77777777" w:rsidR="00C35C18" w:rsidRPr="005B398A" w:rsidRDefault="00C35C18" w:rsidP="00C35C18">
      <w:pPr>
        <w:spacing w:before="240" w:after="240"/>
        <w:jc w:val="both"/>
        <w:rPr>
          <w:rFonts w:ascii="Times New Roman" w:eastAsia="Roboto" w:hAnsi="Times New Roman" w:cs="Times New Roman"/>
        </w:rPr>
      </w:pPr>
      <w:r w:rsidRPr="005B398A">
        <w:rPr>
          <w:rFonts w:ascii="Times New Roman" w:eastAsia="Roboto" w:hAnsi="Times New Roman" w:cs="Times New Roman"/>
        </w:rPr>
        <w:t>L’insécurité provoquée par les GANE et les perturbations climatiques ont une forte incidence sur la sécurité alimentaire des populations au Niger. 3,6 millions de personnes seraient en insécurité alimentaire aiguë (phase 3+) pendant la période soudure (Juin-Août), soit une augmentation de 36,9 pour cent par rapport aux projections pour cette période dans l'analyse du Cadre Harmonisé révisé de mars 2021</w:t>
      </w:r>
      <w:r w:rsidRPr="005B398A">
        <w:rPr>
          <w:rStyle w:val="Appelnotedebasdep"/>
          <w:rFonts w:ascii="Times New Roman" w:eastAsia="Roboto" w:hAnsi="Times New Roman" w:cs="Times New Roman"/>
        </w:rPr>
        <w:footnoteReference w:id="59"/>
      </w:r>
      <w:r w:rsidRPr="005B398A">
        <w:rPr>
          <w:rFonts w:ascii="Times New Roman" w:eastAsia="Roboto" w:hAnsi="Times New Roman" w:cs="Times New Roman"/>
        </w:rPr>
        <w:t>. C’est le nombre le plus élevé de personnes en insécurité alimentaire que le pays ait enregistré au cours de ces huit dernières années où la barre des 3 millions de personnes en insécurité alimentaire n’a jamais été franchie.</w:t>
      </w:r>
    </w:p>
    <w:p w14:paraId="18238F0B" w14:textId="77777777" w:rsidR="00C35C18" w:rsidRPr="005B398A" w:rsidRDefault="00C35C18" w:rsidP="00C35C18">
      <w:pPr>
        <w:spacing w:before="240" w:after="240"/>
        <w:jc w:val="both"/>
        <w:rPr>
          <w:rFonts w:ascii="Times New Roman" w:eastAsia="Roboto" w:hAnsi="Times New Roman" w:cs="Times New Roman"/>
        </w:rPr>
      </w:pPr>
      <w:r w:rsidRPr="005B398A">
        <w:rPr>
          <w:rFonts w:ascii="Times New Roman" w:eastAsia="Roboto" w:hAnsi="Times New Roman" w:cs="Times New Roman"/>
        </w:rPr>
        <w:t>La plupart des ménages pauvres du Niger font face à une insécurité alimentaire minimale (Phase 1 Cadre Harmonisé). Toutefois, les ménages pauvres dans les zones agricoles et agropastorales du pays font face à une insécurité alimentaire de Stress (Phase 2 de l’IPC) du fait de l’épuisement des stocks et le faible pouvoir d’achat de céréales dont les prix, significativement en hausse, ont réduit l’accès alimentaire</w:t>
      </w:r>
      <w:r w:rsidRPr="005B398A">
        <w:rPr>
          <w:rStyle w:val="Appelnotedebasdep"/>
          <w:rFonts w:ascii="Times New Roman" w:eastAsia="Roboto" w:hAnsi="Times New Roman" w:cs="Times New Roman"/>
        </w:rPr>
        <w:footnoteReference w:id="60"/>
      </w:r>
      <w:r w:rsidRPr="005B398A">
        <w:rPr>
          <w:rFonts w:ascii="Times New Roman" w:eastAsia="Roboto" w:hAnsi="Times New Roman" w:cs="Times New Roman"/>
        </w:rPr>
        <w:t xml:space="preserve">. </w:t>
      </w:r>
    </w:p>
    <w:p w14:paraId="2733553E" w14:textId="77777777" w:rsidR="00C35C18" w:rsidRPr="005B398A" w:rsidRDefault="00C35C18" w:rsidP="00C35C18">
      <w:pPr>
        <w:spacing w:before="240" w:after="240"/>
        <w:jc w:val="both"/>
        <w:rPr>
          <w:rFonts w:ascii="Times New Roman" w:eastAsia="Roboto" w:hAnsi="Times New Roman" w:cs="Times New Roman"/>
        </w:rPr>
      </w:pPr>
      <w:r w:rsidRPr="005B398A">
        <w:rPr>
          <w:rFonts w:ascii="Times New Roman" w:eastAsia="Roboto" w:hAnsi="Times New Roman" w:cs="Times New Roman"/>
        </w:rPr>
        <w:t>Dans les zones pastorales, au pic de la soudure pastorale en juin, la dégradation saisonnière de l’embonpoint des animaux et la baisse d’accès aux produits laitiers affectent négativement les revenus des ménages pauvres dans la zone, en dépit des prix globalement moyens. Ces ménages se retrouvent dans une insécurité alimentaire de Stress (Phase 2 de l’IPC)</w:t>
      </w:r>
      <w:r w:rsidRPr="005B398A">
        <w:rPr>
          <w:rStyle w:val="Appelnotedebasdep"/>
          <w:rFonts w:ascii="Times New Roman" w:eastAsia="Roboto" w:hAnsi="Times New Roman" w:cs="Times New Roman"/>
        </w:rPr>
        <w:footnoteReference w:id="61"/>
      </w:r>
      <w:r w:rsidRPr="005B398A">
        <w:rPr>
          <w:rFonts w:ascii="Times New Roman" w:eastAsia="Roboto" w:hAnsi="Times New Roman" w:cs="Times New Roman"/>
        </w:rPr>
        <w:t>.</w:t>
      </w:r>
    </w:p>
    <w:p w14:paraId="4E065216" w14:textId="2A1B2961" w:rsidR="00C35C18" w:rsidRPr="005B398A" w:rsidRDefault="00C35C18" w:rsidP="00C35C18">
      <w:pPr>
        <w:spacing w:before="240" w:after="240"/>
        <w:jc w:val="both"/>
        <w:rPr>
          <w:rFonts w:ascii="Times New Roman" w:eastAsia="Roboto" w:hAnsi="Times New Roman" w:cs="Times New Roman"/>
        </w:rPr>
      </w:pPr>
      <w:r w:rsidRPr="005B398A">
        <w:rPr>
          <w:rFonts w:ascii="Times New Roman" w:eastAsia="Roboto" w:hAnsi="Times New Roman" w:cs="Times New Roman"/>
        </w:rPr>
        <w:lastRenderedPageBreak/>
        <w:t>La situation alimentaire dans les zones d’insécurité est en Stress (Phase 2 Cadre Harmonisé) dans les régions de Diffa et de Maradi à la faveur d’une bonne couverture des besoins par les assistances alimentaires. Cependant la situation est plus critique dans le Nord des régions de Tillaberi et Tahoua où l’insécurité alimentaire en Crise (Phase 3 Cadre Harmonisé) à cause des déficits alimentaires et de protection qui ne sont pas atténués par l’assistance humanitaire qui couvre une faible proportion des ménages dans le besoin par suite des difficultés d’accès humanitaires provoquées par les conflits et l’insécurité</w:t>
      </w:r>
      <w:r w:rsidRPr="005B398A">
        <w:rPr>
          <w:rFonts w:ascii="Times New Roman" w:eastAsia="Roboto" w:hAnsi="Times New Roman" w:cs="Times New Roman"/>
          <w:vertAlign w:val="superscript"/>
        </w:rPr>
        <w:footnoteReference w:id="62"/>
      </w:r>
      <w:r w:rsidRPr="005B398A">
        <w:rPr>
          <w:rFonts w:ascii="Times New Roman" w:eastAsia="Roboto" w:hAnsi="Times New Roman" w:cs="Times New Roman"/>
        </w:rPr>
        <w:t>. Les moyens d’existence de la population au Niger continuent également à être affectés par différents chocs. Malgré un impact faible sur les personnes par rapport à 2020, la Direction des Secours Humanitaires d’Urgences du MAH/CG rapporte que les inondations en 2021 ont décimé plus de bétail (11 109 au 20 septembre 2021) qu’en 2020 (6 699 têtes décimées au 13 septembre 2020)</w:t>
      </w:r>
      <w:r w:rsidRPr="005B398A">
        <w:rPr>
          <w:rStyle w:val="Appelnotedebasdep"/>
          <w:rFonts w:ascii="Times New Roman" w:eastAsia="Roboto" w:hAnsi="Times New Roman" w:cs="Times New Roman"/>
        </w:rPr>
        <w:footnoteReference w:id="63"/>
      </w:r>
      <w:r w:rsidRPr="005B398A">
        <w:rPr>
          <w:rFonts w:ascii="Times New Roman" w:eastAsia="Roboto" w:hAnsi="Times New Roman" w:cs="Times New Roman"/>
        </w:rPr>
        <w:t>.</w:t>
      </w:r>
    </w:p>
    <w:p w14:paraId="6387E9D6" w14:textId="6F0F3D49" w:rsidR="00C35C18" w:rsidRPr="005B398A" w:rsidRDefault="00C35C18" w:rsidP="00C35C18">
      <w:pPr>
        <w:spacing w:before="240" w:after="240"/>
        <w:jc w:val="both"/>
        <w:rPr>
          <w:rFonts w:ascii="Times New Roman" w:eastAsia="Roboto" w:hAnsi="Times New Roman" w:cs="Times New Roman"/>
        </w:rPr>
      </w:pPr>
      <w:r w:rsidRPr="005B398A">
        <w:rPr>
          <w:rFonts w:ascii="Times New Roman" w:eastAsia="Roboto" w:hAnsi="Times New Roman" w:cs="Times New Roman"/>
        </w:rPr>
        <w:t xml:space="preserve">Selon le rapport « Moyens d’existence agricole et sécurité alimentaire dans le cadre de </w:t>
      </w:r>
      <w:r w:rsidR="00933112">
        <w:rPr>
          <w:rFonts w:ascii="Times New Roman" w:eastAsia="Roboto" w:hAnsi="Times New Roman" w:cs="Times New Roman"/>
        </w:rPr>
        <w:t xml:space="preserve">la </w:t>
      </w:r>
      <w:r w:rsidRPr="005B398A">
        <w:rPr>
          <w:rFonts w:ascii="Times New Roman" w:eastAsia="Roboto" w:hAnsi="Times New Roman" w:cs="Times New Roman"/>
        </w:rPr>
        <w:t>COVID-19 rapport de suivi » publié en mai 2021 par la FAO, dans les zones rurales, des chocs particuliers ont affecté la production agricole durant la campagne agricole d’hivernage 2020, par rapport à une saison ordinaire. Parmi ces chocs, les fortes pluies, les inondations ainsi que les infestations de ravageurs des cultures sont prédominantes. Les ménages dirigés par une femme ont davantage été touchés par les chocs que ceux dirigés par un homme par les catastrophes naturelles – inondations et/ou sécheresse – (30 contre 23 pour cent), la perte d’emploi (13 contre 7 pour cent) et l’insécurité/les conflits (12 contre 8 pour cent)</w:t>
      </w:r>
      <w:r w:rsidRPr="005B398A">
        <w:rPr>
          <w:rStyle w:val="Appelnotedebasdep"/>
          <w:rFonts w:ascii="Times New Roman" w:eastAsia="Roboto" w:hAnsi="Times New Roman" w:cs="Times New Roman"/>
        </w:rPr>
        <w:footnoteReference w:id="64"/>
      </w:r>
      <w:r w:rsidRPr="005B398A">
        <w:rPr>
          <w:rFonts w:ascii="Times New Roman" w:eastAsia="Roboto" w:hAnsi="Times New Roman" w:cs="Times New Roman"/>
        </w:rPr>
        <w:t>.</w:t>
      </w:r>
    </w:p>
    <w:p w14:paraId="70229A65" w14:textId="77777777" w:rsidR="00C35C18" w:rsidRPr="005B398A" w:rsidRDefault="00C35C18" w:rsidP="00C35C18">
      <w:pPr>
        <w:spacing w:before="240" w:after="240"/>
        <w:jc w:val="both"/>
        <w:rPr>
          <w:rFonts w:ascii="Times New Roman" w:eastAsia="Roboto" w:hAnsi="Times New Roman" w:cs="Times New Roman"/>
        </w:rPr>
      </w:pPr>
      <w:r w:rsidRPr="005B398A">
        <w:rPr>
          <w:rFonts w:ascii="Times New Roman" w:eastAsia="Roboto" w:hAnsi="Times New Roman" w:cs="Times New Roman"/>
        </w:rPr>
        <w:t>Des perturbations de la chaîne d'approvisionnement alimentaire ont compliqué la disponibilité et l'accès aux aliments durant la période de soudure. La COVID-19 et les restrictions de mouvement imposées ont, en outre, exacerbé les difficultés rencontrées par les agriculteurs pour accéder aux intrants agricoles et engendré une réduction des opportunités économiques des ménages. Ces derniers ont observé des baisses de revenu et ont eu recours plus largement à des mécanismes d'adaptation négatifs, tels que la vente d’actifs productifs, la consommation de semences, l’emprunt/endettement ou la réduction des dépenses non alimentaires essentielles (santé, éducation, etc.). 62 pour cent des ménages enquêtés ont signalé une baisse des revenus de leurs ménages</w:t>
      </w:r>
      <w:r w:rsidRPr="005B398A">
        <w:rPr>
          <w:rStyle w:val="Appelnotedebasdep"/>
          <w:rFonts w:ascii="Times New Roman" w:eastAsia="Roboto" w:hAnsi="Times New Roman" w:cs="Times New Roman"/>
        </w:rPr>
        <w:footnoteReference w:id="65"/>
      </w:r>
      <w:r w:rsidRPr="005B398A">
        <w:rPr>
          <w:rFonts w:ascii="Times New Roman" w:eastAsia="Roboto" w:hAnsi="Times New Roman" w:cs="Times New Roman"/>
        </w:rPr>
        <w:t>. Ces stratégies présentent l’inconvénient d’augmenter les risques de carences en micronutriments et de malnutrition</w:t>
      </w:r>
      <w:r w:rsidRPr="005B398A">
        <w:rPr>
          <w:rFonts w:ascii="Times New Roman" w:eastAsia="Roboto" w:hAnsi="Times New Roman" w:cs="Times New Roman"/>
          <w:vertAlign w:val="superscript"/>
        </w:rPr>
        <w:footnoteReference w:id="66"/>
      </w:r>
      <w:r w:rsidRPr="005B398A">
        <w:rPr>
          <w:rFonts w:ascii="Times New Roman" w:eastAsia="Roboto" w:hAnsi="Times New Roman" w:cs="Times New Roman"/>
        </w:rPr>
        <w:t>.</w:t>
      </w:r>
    </w:p>
    <w:p w14:paraId="7A8A04DB" w14:textId="77777777" w:rsidR="00C35C18" w:rsidRPr="005B398A" w:rsidRDefault="00C35C18" w:rsidP="00C35C18">
      <w:pPr>
        <w:spacing w:before="240" w:after="240"/>
        <w:jc w:val="both"/>
        <w:rPr>
          <w:rFonts w:ascii="Times New Roman" w:eastAsia="Roboto" w:hAnsi="Times New Roman" w:cs="Times New Roman"/>
        </w:rPr>
      </w:pPr>
      <w:r w:rsidRPr="005B398A">
        <w:rPr>
          <w:rFonts w:ascii="Times New Roman" w:eastAsia="Roboto" w:hAnsi="Times New Roman" w:cs="Times New Roman"/>
        </w:rPr>
        <w:t>Selon la MSNA 2021, la principale source de nourriture est de loin l’achat de vivres, quelle que soit la catégorie enquêtée. En effet, les retournés (57,3 pour cent), les réfugiés (47,7 pour cent), les PDI (49,1 pour cent) et les populations non déplacées (39,9 pour cent) orientent plus ou moins 75 pour cent de leurs revenus pour les dépenses alimentaires. Près de 30 pour cent des PDI orientés à peu près 100 pour cent de leurs revenus aux dépenses alimentaires</w:t>
      </w:r>
      <w:r w:rsidRPr="005B398A">
        <w:rPr>
          <w:rFonts w:ascii="Times New Roman" w:eastAsia="Roboto" w:hAnsi="Times New Roman" w:cs="Times New Roman"/>
          <w:vertAlign w:val="superscript"/>
        </w:rPr>
        <w:footnoteReference w:id="67"/>
      </w:r>
      <w:r w:rsidRPr="005B398A">
        <w:rPr>
          <w:rFonts w:ascii="Times New Roman" w:eastAsia="Roboto" w:hAnsi="Times New Roman" w:cs="Times New Roman"/>
        </w:rPr>
        <w:t>.</w:t>
      </w:r>
    </w:p>
    <w:p w14:paraId="1BE9429E" w14:textId="77777777" w:rsidR="00C35C18" w:rsidRPr="005B398A" w:rsidRDefault="00C35C18" w:rsidP="00C35C18">
      <w:pPr>
        <w:spacing w:before="240" w:after="240"/>
        <w:jc w:val="both"/>
        <w:rPr>
          <w:rFonts w:ascii="Times New Roman" w:eastAsia="Roboto" w:hAnsi="Times New Roman" w:cs="Times New Roman"/>
        </w:rPr>
      </w:pPr>
      <w:r w:rsidRPr="005B398A">
        <w:rPr>
          <w:rFonts w:ascii="Times New Roman" w:eastAsia="Roboto" w:hAnsi="Times New Roman" w:cs="Times New Roman"/>
        </w:rPr>
        <w:t>La situation nutritionnelle demeure préoccupante au Niger. Environ 457 200 enfants âgés de 6 à 59 mois sont exposés à une malnutrition aiguë sévère cette année. La prévalence de la Malnutrition Aiguë Globale (MAG) est de 12,5 pour cent au plan National. Cette prévalence place le pays dans une situation d’alerte conformément au seuil de classification de la malnutrition de 10 pour cent selon l’Organisation Mondiale de la Santé (OMS).</w:t>
      </w:r>
      <w:r w:rsidRPr="005B398A">
        <w:rPr>
          <w:rStyle w:val="Appelnotedebasdep"/>
          <w:rFonts w:ascii="Times New Roman" w:eastAsia="Roboto" w:hAnsi="Times New Roman" w:cs="Times New Roman"/>
        </w:rPr>
        <w:footnoteReference w:id="68"/>
      </w:r>
      <w:r w:rsidRPr="005B398A">
        <w:rPr>
          <w:rFonts w:ascii="Times New Roman" w:hAnsi="Times New Roman" w:cs="Times New Roman"/>
        </w:rPr>
        <w:t xml:space="preserve"> </w:t>
      </w:r>
      <w:r w:rsidRPr="005B398A">
        <w:rPr>
          <w:rFonts w:ascii="Times New Roman" w:eastAsia="Roboto" w:hAnsi="Times New Roman" w:cs="Times New Roman"/>
        </w:rPr>
        <w:t xml:space="preserve">Une tendance quasi similaire apparait entre les résultats de cette année et ceux des années 2020 et, 2019, avec respectivement 12,7% et 10,7%. Les seuils de l’OMS indiquent </w:t>
      </w:r>
      <w:r w:rsidRPr="005B398A">
        <w:rPr>
          <w:rFonts w:ascii="Times New Roman" w:eastAsia="Roboto" w:hAnsi="Times New Roman" w:cs="Times New Roman"/>
        </w:rPr>
        <w:lastRenderedPageBreak/>
        <w:t>que quatre régions (Agadez, Maradi, Tahoua et Zinder) sont dans une situation précaire et la région de Diffa dans une situation d’urgence.</w:t>
      </w:r>
    </w:p>
    <w:p w14:paraId="3C6FCA71" w14:textId="03435CAA" w:rsidR="00C35C18" w:rsidRPr="005B398A" w:rsidRDefault="00C35C18" w:rsidP="00C35C18">
      <w:pPr>
        <w:spacing w:before="240" w:after="240"/>
        <w:jc w:val="both"/>
        <w:rPr>
          <w:rFonts w:ascii="Times New Roman" w:eastAsia="Roboto" w:hAnsi="Times New Roman" w:cs="Times New Roman"/>
        </w:rPr>
      </w:pPr>
      <w:r w:rsidRPr="005B398A">
        <w:rPr>
          <w:rFonts w:ascii="Times New Roman" w:eastAsia="Roboto" w:hAnsi="Times New Roman" w:cs="Times New Roman"/>
        </w:rPr>
        <w:t>La prévalence de la malnutrition aiguë sévère au niveau national est estimée à 2,7% contre 2,6% en 2020, 2,7% en 2019 et 3,2% en 2018. Certaines régions notamment, Agadez, Diffa, Maradi, Tahoua et Zinder se distinguent avec des prévalences de MAS supérieures à 2%.</w:t>
      </w:r>
      <w:r w:rsidR="0093312C">
        <w:rPr>
          <w:rFonts w:ascii="Times New Roman" w:eastAsia="Roboto" w:hAnsi="Times New Roman" w:cs="Times New Roman"/>
        </w:rPr>
        <w:t xml:space="preserve"> </w:t>
      </w:r>
      <w:r w:rsidRPr="005B398A">
        <w:rPr>
          <w:rFonts w:ascii="Times New Roman" w:eastAsia="Roboto" w:hAnsi="Times New Roman" w:cs="Times New Roman"/>
        </w:rPr>
        <w:t>S’agissant de la malnutrition chronique (MC), la prévalence est estimée à 43,5 pour cent au niveau national, soit une baisse de 1,6% par rapport à 2020, malgré cette diminution, elle demeure supérieure au seuil de classification de l’OMS (40%). Elle varie de 19,4% dans la ville de Niamey à 57,4% à Zinder. En considérant les seuils de l’OMS, une (1) région (Agadez) est dans une situation de précarité, deux (2) régions à savoir Dosso et Tillabéri dans une situation d’alerte (&gt;30%) et les quatre (4) autres régions (Tahoua, Maradi, Diffa et Zinder) sont en situation d’urgence (&gt;40%</w:t>
      </w:r>
      <w:r w:rsidRPr="005B398A">
        <w:rPr>
          <w:rFonts w:ascii="Times New Roman" w:hAnsi="Times New Roman" w:cs="Times New Roman"/>
        </w:rPr>
        <w:t>)</w:t>
      </w:r>
      <w:r w:rsidRPr="005B398A">
        <w:rPr>
          <w:rStyle w:val="Appelnotedebasdep"/>
          <w:rFonts w:ascii="Times New Roman" w:hAnsi="Times New Roman" w:cs="Times New Roman"/>
        </w:rPr>
        <w:footnoteReference w:id="69"/>
      </w:r>
    </w:p>
    <w:p w14:paraId="27B631C9" w14:textId="77777777" w:rsidR="00C35C18" w:rsidRPr="0093312C" w:rsidRDefault="00C35C18" w:rsidP="0093312C">
      <w:pPr>
        <w:pStyle w:val="Paragraphedeliste"/>
        <w:numPr>
          <w:ilvl w:val="0"/>
          <w:numId w:val="14"/>
        </w:numPr>
        <w:pBdr>
          <w:top w:val="nil"/>
          <w:left w:val="nil"/>
          <w:bottom w:val="nil"/>
          <w:right w:val="nil"/>
          <w:between w:val="nil"/>
        </w:pBdr>
        <w:jc w:val="both"/>
        <w:rPr>
          <w:rFonts w:ascii="Times New Roman" w:eastAsia="Arial" w:hAnsi="Times New Roman" w:cs="Times New Roman"/>
          <w:b/>
          <w:bCs/>
        </w:rPr>
      </w:pPr>
      <w:r w:rsidRPr="0093312C">
        <w:rPr>
          <w:rFonts w:ascii="Times New Roman" w:eastAsia="Arial" w:hAnsi="Times New Roman" w:cs="Times New Roman"/>
          <w:b/>
          <w:bCs/>
        </w:rPr>
        <w:t>Services sociaux</w:t>
      </w:r>
    </w:p>
    <w:p w14:paraId="13A0B29B" w14:textId="673B709E" w:rsidR="00C35C18" w:rsidRPr="005B398A" w:rsidRDefault="00C35C18" w:rsidP="00C35C18">
      <w:pPr>
        <w:pBdr>
          <w:top w:val="nil"/>
          <w:left w:val="nil"/>
          <w:bottom w:val="nil"/>
          <w:right w:val="nil"/>
          <w:between w:val="nil"/>
        </w:pBdr>
        <w:jc w:val="both"/>
        <w:rPr>
          <w:rFonts w:ascii="Times New Roman" w:eastAsia="Arial" w:hAnsi="Times New Roman" w:cs="Times New Roman"/>
        </w:rPr>
      </w:pPr>
      <w:r w:rsidRPr="005B398A">
        <w:rPr>
          <w:rFonts w:ascii="Times New Roman" w:eastAsia="Arial" w:hAnsi="Times New Roman" w:cs="Times New Roman"/>
        </w:rPr>
        <w:t>D’après l’évaluation multisectorielle des besoins au Niger (MSNA), effectué</w:t>
      </w:r>
      <w:r w:rsidR="0093312C">
        <w:rPr>
          <w:rFonts w:ascii="Times New Roman" w:eastAsia="Arial" w:hAnsi="Times New Roman" w:cs="Times New Roman"/>
        </w:rPr>
        <w:t>e</w:t>
      </w:r>
      <w:r w:rsidRPr="005B398A">
        <w:rPr>
          <w:rFonts w:ascii="Times New Roman" w:eastAsia="Arial" w:hAnsi="Times New Roman" w:cs="Times New Roman"/>
        </w:rPr>
        <w:t xml:space="preserve"> de juillet à septembre 2021, la taille moyenne d’un ménage est d'environ 8 personnes, avec des variations significatives par régions, allant de 6 personnes en moyenne dans la région de Tahoua, à plus de 13 dans la région de Diffa. La densité moyenne de la population est ainsi passée de 8,95 à 19,04 habitants au kilomètre carré entre 2000 et 2021</w:t>
      </w:r>
      <w:r w:rsidRPr="005B398A">
        <w:rPr>
          <w:rStyle w:val="Appelnotedebasdep"/>
          <w:rFonts w:ascii="Times New Roman" w:eastAsia="Arial" w:hAnsi="Times New Roman" w:cs="Times New Roman"/>
        </w:rPr>
        <w:footnoteReference w:id="70"/>
      </w:r>
      <w:r w:rsidRPr="005B398A">
        <w:rPr>
          <w:rFonts w:ascii="Times New Roman" w:eastAsia="Arial" w:hAnsi="Times New Roman" w:cs="Times New Roman"/>
        </w:rPr>
        <w:t>. Cette croissance rapide de la population et la forte pression démographique qui l’accompagne entraînent une compétition pour l’accès aux ressources déjà limitées. La tendance à une forte croissance démographique est espérée. Ainsi, en 2030, la population du Niger dépassera 34 millions d’habitants et en 2050, elle dépassera 68 millions d’habitants</w:t>
      </w:r>
      <w:r w:rsidRPr="005B398A">
        <w:rPr>
          <w:rFonts w:ascii="Times New Roman" w:hAnsi="Times New Roman" w:cs="Times New Roman"/>
          <w:vertAlign w:val="superscript"/>
        </w:rPr>
        <w:footnoteReference w:id="71"/>
      </w:r>
      <w:r w:rsidRPr="005B398A">
        <w:rPr>
          <w:rFonts w:ascii="Times New Roman" w:eastAsia="Arial" w:hAnsi="Times New Roman" w:cs="Times New Roman"/>
        </w:rPr>
        <w:t>.</w:t>
      </w:r>
    </w:p>
    <w:p w14:paraId="16F09BD5" w14:textId="77777777" w:rsidR="00C35C18" w:rsidRPr="005B398A" w:rsidRDefault="00C35C18" w:rsidP="00C35C18">
      <w:pPr>
        <w:jc w:val="both"/>
        <w:rPr>
          <w:rFonts w:ascii="Times New Roman" w:eastAsia="Arial" w:hAnsi="Times New Roman" w:cs="Times New Roman"/>
        </w:rPr>
      </w:pPr>
      <w:r w:rsidRPr="005B398A">
        <w:rPr>
          <w:rFonts w:ascii="Times New Roman" w:eastAsia="Arial" w:hAnsi="Times New Roman" w:cs="Times New Roman"/>
        </w:rPr>
        <w:t>La MSNA informe également que 9,4 pour cent des ménages nigériens ont au moins une personne avec un handicap et rencontre des difficultés pour mener des activités précises, la prévalence nationale varie selon les catégories :  difficultés à marcher (4 pour cent), difficultés à mener des activités pour prendre soin de soi-même (1,2 pour cent), difficultés à voir (3,4 pour cent), difficultés à entendre (1,9 pour cent) et difficultés à parler (0,1 pour cent).</w:t>
      </w:r>
    </w:p>
    <w:p w14:paraId="54F99319" w14:textId="77777777" w:rsidR="00364977" w:rsidRDefault="00C35C18" w:rsidP="00364977">
      <w:pPr>
        <w:spacing w:before="240" w:after="240"/>
        <w:jc w:val="both"/>
        <w:rPr>
          <w:rFonts w:ascii="Times New Roman" w:eastAsia="Roboto" w:hAnsi="Times New Roman" w:cs="Times New Roman"/>
        </w:rPr>
      </w:pPr>
      <w:r w:rsidRPr="005B398A">
        <w:rPr>
          <w:rFonts w:ascii="Times New Roman" w:eastAsia="Roboto" w:hAnsi="Times New Roman" w:cs="Times New Roman"/>
          <w:bCs/>
        </w:rPr>
        <w:t>La COVID19,</w:t>
      </w:r>
      <w:r w:rsidRPr="005B398A">
        <w:rPr>
          <w:rFonts w:ascii="Times New Roman" w:eastAsia="Roboto" w:hAnsi="Times New Roman" w:cs="Times New Roman"/>
          <w:b/>
        </w:rPr>
        <w:t xml:space="preserve"> </w:t>
      </w:r>
      <w:r w:rsidRPr="005B398A">
        <w:rPr>
          <w:rFonts w:ascii="Times New Roman" w:eastAsia="Roboto" w:hAnsi="Times New Roman" w:cs="Times New Roman"/>
        </w:rPr>
        <w:t>dont le 1er cas</w:t>
      </w:r>
      <w:r w:rsidRPr="005B398A">
        <w:rPr>
          <w:rFonts w:ascii="Times New Roman" w:eastAsia="Roboto" w:hAnsi="Times New Roman" w:cs="Times New Roman"/>
          <w:color w:val="548DD4"/>
        </w:rPr>
        <w:t xml:space="preserve"> </w:t>
      </w:r>
      <w:r w:rsidRPr="005B398A">
        <w:rPr>
          <w:rFonts w:ascii="Times New Roman" w:eastAsia="Roboto" w:hAnsi="Times New Roman" w:cs="Times New Roman"/>
        </w:rPr>
        <w:t>a été notifié sur le territoire 19 mars 2020, continue d’affecter les populations du Niger. Malgré un taux assez bas de contamination par rapport à d’autres pays, toutes les régions sont affectées. Ainsi, au 27 octobre 2021, 6 300 cas, dont 211 décès, ont été enregistrés. Les régions les plus touchées sont Niamey (3 999 cas), Agadez (97 cas), Zinder (383 cas), Tahoua (351 cas) et Tillaberi (303 cas)</w:t>
      </w:r>
      <w:r w:rsidRPr="005B398A">
        <w:rPr>
          <w:rStyle w:val="Appelnotedebasdep"/>
          <w:rFonts w:ascii="Times New Roman" w:eastAsia="Roboto" w:hAnsi="Times New Roman" w:cs="Times New Roman"/>
        </w:rPr>
        <w:footnoteReference w:id="72"/>
      </w:r>
      <w:r w:rsidRPr="005B398A">
        <w:rPr>
          <w:rFonts w:ascii="Times New Roman" w:eastAsia="Roboto" w:hAnsi="Times New Roman" w:cs="Times New Roman"/>
        </w:rPr>
        <w:t>. Malgré la disponibilité des vaccins depuis le mois de mars 2021, la vaccination en vue d’obtenir l’immunité collective demeure un grand défi. En effet, au 27 octobre 20</w:t>
      </w:r>
      <w:r w:rsidRPr="005B398A">
        <w:rPr>
          <w:rFonts w:ascii="Times New Roman" w:eastAsia="Roboto" w:hAnsi="Times New Roman" w:cs="Times New Roman"/>
          <w:color w:val="323031"/>
        </w:rPr>
        <w:t>21, moins de 10 pour cent de la population avait reçu la 1</w:t>
      </w:r>
      <w:r w:rsidRPr="005B398A">
        <w:rPr>
          <w:rFonts w:ascii="Times New Roman" w:eastAsia="Roboto" w:hAnsi="Times New Roman" w:cs="Times New Roman"/>
          <w:color w:val="323031"/>
          <w:vertAlign w:val="superscript"/>
        </w:rPr>
        <w:t>re</w:t>
      </w:r>
      <w:r w:rsidRPr="005B398A">
        <w:rPr>
          <w:rFonts w:ascii="Times New Roman" w:eastAsia="Roboto" w:hAnsi="Times New Roman" w:cs="Times New Roman"/>
          <w:color w:val="323031"/>
        </w:rPr>
        <w:t xml:space="preserve"> dose de vaccin</w:t>
      </w:r>
      <w:r w:rsidRPr="005B398A">
        <w:rPr>
          <w:rStyle w:val="Appelnotedebasdep"/>
          <w:rFonts w:ascii="Times New Roman" w:eastAsia="Roboto" w:hAnsi="Times New Roman" w:cs="Times New Roman"/>
          <w:color w:val="323031"/>
        </w:rPr>
        <w:footnoteReference w:id="73"/>
      </w:r>
      <w:r w:rsidRPr="005B398A">
        <w:rPr>
          <w:rFonts w:ascii="Times New Roman" w:eastAsia="Roboto" w:hAnsi="Times New Roman" w:cs="Times New Roman"/>
        </w:rPr>
        <w:t>.</w:t>
      </w:r>
    </w:p>
    <w:p w14:paraId="00F86085" w14:textId="4251BE2D" w:rsidR="00C35C18" w:rsidRPr="0093312C" w:rsidRDefault="00C35C18" w:rsidP="00364977">
      <w:pPr>
        <w:spacing w:before="240" w:after="240"/>
        <w:jc w:val="both"/>
        <w:rPr>
          <w:rFonts w:ascii="Times New Roman" w:eastAsia="Roboto" w:hAnsi="Times New Roman" w:cs="Times New Roman"/>
          <w:b/>
        </w:rPr>
      </w:pPr>
      <w:r w:rsidRPr="0093312C">
        <w:rPr>
          <w:rFonts w:ascii="Times New Roman" w:eastAsia="Roboto" w:hAnsi="Times New Roman" w:cs="Times New Roman"/>
          <w:b/>
        </w:rPr>
        <w:t>Analyse de risques pour 2022</w:t>
      </w:r>
    </w:p>
    <w:p w14:paraId="539B85B0" w14:textId="77777777" w:rsidR="00C35C18" w:rsidRPr="005B398A" w:rsidRDefault="00C35C18" w:rsidP="00C35C18">
      <w:pPr>
        <w:spacing w:before="240" w:after="240"/>
        <w:jc w:val="both"/>
        <w:rPr>
          <w:rFonts w:ascii="Times New Roman" w:eastAsia="Roboto" w:hAnsi="Times New Roman" w:cs="Times New Roman"/>
        </w:rPr>
      </w:pPr>
      <w:r w:rsidRPr="005B398A">
        <w:rPr>
          <w:rFonts w:ascii="Times New Roman" w:eastAsia="Roboto" w:hAnsi="Times New Roman" w:cs="Times New Roman"/>
        </w:rPr>
        <w:t xml:space="preserve">Afin de définir le scénario le plus probable de l’évolution de la situation humanitaire en 2022, et identifier les risques qui entraîneraient des conséquences notables sur les besoins humanitaires, un cadre d’analyse conjointe des risques a été établi en septembre 2021 à travers des ateliers régionaux et nationaux. Un des objectifs de ce cadre d’analyse était d’identifier les risques les plus fréquents qui affectent le Niger afin de réaliser une évaluation de ces risques combinés et permettre à la communauté </w:t>
      </w:r>
      <w:r w:rsidRPr="005B398A">
        <w:rPr>
          <w:rFonts w:ascii="Times New Roman" w:eastAsia="Roboto" w:hAnsi="Times New Roman" w:cs="Times New Roman"/>
        </w:rPr>
        <w:lastRenderedPageBreak/>
        <w:t>humanitaire de mettre en place des mesures pour atténuer leur impact potentiel. Ainsi, trois risques majeurs ont été retenus notamment les conflits armés, les inondations et la sécheresse.</w:t>
      </w:r>
    </w:p>
    <w:p w14:paraId="78FC7322" w14:textId="358DD577" w:rsidR="00F16E70" w:rsidRPr="0093312C" w:rsidRDefault="00C35C18" w:rsidP="0093312C">
      <w:pPr>
        <w:pBdr>
          <w:top w:val="nil"/>
          <w:left w:val="nil"/>
          <w:bottom w:val="nil"/>
          <w:right w:val="nil"/>
          <w:between w:val="nil"/>
        </w:pBdr>
        <w:spacing w:before="240" w:after="240"/>
        <w:jc w:val="both"/>
        <w:rPr>
          <w:rFonts w:ascii="Times New Roman" w:eastAsia="Roboto" w:hAnsi="Times New Roman" w:cs="Times New Roman"/>
          <w:b/>
        </w:rPr>
      </w:pPr>
      <w:r w:rsidRPr="005B398A">
        <w:rPr>
          <w:rFonts w:ascii="Times New Roman" w:eastAsia="Roboto" w:hAnsi="Times New Roman" w:cs="Times New Roman"/>
        </w:rPr>
        <w:t xml:space="preserve">Les résultats de l’analyse combinée des risques ont fait ressortir que 11 départements seraient susceptibles d'être affectés par les effets liés aux conflits, aux inondations et à la sécheresse, ce qui entraînerait une augmentation de plus d’1,5 million de personnes (soit une augmentation de 44 pour cent) qui se retrouveraient dans le besoin en raison de la dégradation probable de la situation humanitaire en 2022, principalement dans les régions de Tillabéri, Tahoua, Diffa et Maradi. La population </w:t>
      </w:r>
      <w:r w:rsidRPr="005B398A">
        <w:rPr>
          <w:rFonts w:ascii="Times New Roman" w:hAnsi="Times New Roman" w:cs="Times New Roman"/>
        </w:rPr>
        <w:t xml:space="preserve">dans le besoin est ainsi calculée à 3.7 millions. </w:t>
      </w:r>
    </w:p>
    <w:p w14:paraId="31F5A9F8" w14:textId="77777777" w:rsidR="0028280C" w:rsidRDefault="0028280C" w:rsidP="0028280C">
      <w:pPr>
        <w:jc w:val="both"/>
        <w:rPr>
          <w:rFonts w:ascii="Times New Roman" w:eastAsia="Times New Roman" w:hAnsi="Times New Roman" w:cs="Times New Roman"/>
        </w:rPr>
      </w:pPr>
      <w:r>
        <w:rPr>
          <w:rFonts w:ascii="Times New Roman" w:hAnsi="Times New Roman" w:cs="Times New Roman"/>
        </w:rPr>
        <w:t>La situation humanitaire demeure préoccupante malgré les efforts considérables accomplis par les pouvoirs publics avec l’appui des PTF. En effet, il ressort du plan de réponse humanitaire 2021 que dans les huit régions du pays, les populations sont confrontées à une détérioration continue de leurs conditions de vie en raison d</w:t>
      </w:r>
      <w:r>
        <w:rPr>
          <w:rFonts w:ascii="Calibri" w:eastAsia="Calibri" w:hAnsi="Calibri" w:cs="Calibri"/>
        </w:rPr>
        <w:t xml:space="preserve">es </w:t>
      </w:r>
      <w:r w:rsidRPr="00DA0DFB">
        <w:rPr>
          <w:rFonts w:ascii="Times New Roman" w:hAnsi="Times New Roman" w:cs="Times New Roman"/>
        </w:rPr>
        <w:t>crises chroniques et structurelles (insécurité alimentaire et nutritionnelle), de l'insécurité due à l'activisme des groupes armés non étatiques (GANE) qui sévit dans les régions de Diffa, Tillabéri et Tahoua, ainsi que de la criminalité dans les zones frontalières de la région de Maradi, des aléas climatiques (sécheresse et inondations), et des épidémies</w:t>
      </w:r>
      <w:r>
        <w:rPr>
          <w:rStyle w:val="Appelnotedebasdep"/>
          <w:rFonts w:ascii="Times New Roman" w:hAnsi="Times New Roman" w:cs="Times New Roman"/>
        </w:rPr>
        <w:footnoteReference w:id="74"/>
      </w:r>
      <w:r w:rsidRPr="00DA0DFB">
        <w:rPr>
          <w:rFonts w:ascii="Times New Roman" w:hAnsi="Times New Roman" w:cs="Times New Roman"/>
        </w:rPr>
        <w:t>.</w:t>
      </w:r>
      <w:r>
        <w:rPr>
          <w:rFonts w:ascii="Calibri" w:eastAsia="Calibri" w:hAnsi="Calibri" w:cs="Calibri"/>
        </w:rPr>
        <w:t xml:space="preserve"> </w:t>
      </w:r>
      <w:r w:rsidRPr="0058697B">
        <w:rPr>
          <w:rFonts w:ascii="Times New Roman" w:eastAsia="Times New Roman" w:hAnsi="Times New Roman" w:cs="Times New Roman"/>
        </w:rPr>
        <w:t xml:space="preserve">Du fait de </w:t>
      </w:r>
      <w:r>
        <w:rPr>
          <w:rFonts w:ascii="Times New Roman" w:eastAsia="Times New Roman" w:hAnsi="Times New Roman" w:cs="Times New Roman"/>
        </w:rPr>
        <w:t>l’insécurité</w:t>
      </w:r>
      <w:r w:rsidRPr="0058697B">
        <w:rPr>
          <w:rFonts w:ascii="Times New Roman" w:eastAsia="Times New Roman" w:hAnsi="Times New Roman" w:cs="Times New Roman"/>
        </w:rPr>
        <w:t xml:space="preserve">, le </w:t>
      </w:r>
      <w:r>
        <w:rPr>
          <w:rFonts w:ascii="Times New Roman" w:eastAsia="Times New Roman" w:hAnsi="Times New Roman" w:cs="Times New Roman"/>
        </w:rPr>
        <w:t>pays</w:t>
      </w:r>
      <w:r w:rsidRPr="0058697B">
        <w:rPr>
          <w:rFonts w:ascii="Times New Roman" w:eastAsia="Times New Roman" w:hAnsi="Times New Roman" w:cs="Times New Roman"/>
        </w:rPr>
        <w:t xml:space="preserve"> accueille des milliers de réfugiés et de déplacés internes. L'</w:t>
      </w:r>
      <w:r>
        <w:rPr>
          <w:rFonts w:ascii="Times New Roman" w:eastAsia="Times New Roman" w:hAnsi="Times New Roman" w:cs="Times New Roman"/>
        </w:rPr>
        <w:t xml:space="preserve">afflux des populations déplacées a aggravé </w:t>
      </w:r>
      <w:r w:rsidRPr="0058697B">
        <w:rPr>
          <w:rFonts w:ascii="Times New Roman" w:eastAsia="Times New Roman" w:hAnsi="Times New Roman" w:cs="Times New Roman"/>
        </w:rPr>
        <w:t>la situation humanitaire</w:t>
      </w:r>
      <w:r>
        <w:rPr>
          <w:rFonts w:ascii="Times New Roman" w:eastAsia="Times New Roman" w:hAnsi="Times New Roman" w:cs="Times New Roman"/>
        </w:rPr>
        <w:t xml:space="preserve"> et </w:t>
      </w:r>
      <w:r w:rsidRPr="0058697B">
        <w:rPr>
          <w:rFonts w:ascii="Times New Roman" w:eastAsia="Times New Roman" w:hAnsi="Times New Roman" w:cs="Times New Roman"/>
        </w:rPr>
        <w:t>a accru la vulnérabilité de la population d'accueil</w:t>
      </w:r>
      <w:r>
        <w:rPr>
          <w:rFonts w:ascii="Times New Roman" w:eastAsia="Times New Roman" w:hAnsi="Times New Roman" w:cs="Times New Roman"/>
        </w:rPr>
        <w:t xml:space="preserve">, victime </w:t>
      </w:r>
      <w:r w:rsidRPr="0058697B">
        <w:rPr>
          <w:rFonts w:ascii="Times New Roman" w:eastAsia="Times New Roman" w:hAnsi="Times New Roman" w:cs="Times New Roman"/>
        </w:rPr>
        <w:t>de violations de</w:t>
      </w:r>
      <w:r>
        <w:rPr>
          <w:rFonts w:ascii="Times New Roman" w:eastAsia="Times New Roman" w:hAnsi="Times New Roman" w:cs="Times New Roman"/>
        </w:rPr>
        <w:t xml:space="preserve"> leurs</w:t>
      </w:r>
      <w:r w:rsidRPr="0058697B">
        <w:rPr>
          <w:rFonts w:ascii="Times New Roman" w:eastAsia="Times New Roman" w:hAnsi="Times New Roman" w:cs="Times New Roman"/>
        </w:rPr>
        <w:t xml:space="preserve"> droits humains, notamment des </w:t>
      </w:r>
      <w:r>
        <w:rPr>
          <w:rFonts w:ascii="Times New Roman" w:eastAsia="Times New Roman" w:hAnsi="Times New Roman" w:cs="Times New Roman"/>
        </w:rPr>
        <w:t xml:space="preserve">atteintes au droit à la vie, des cas de </w:t>
      </w:r>
      <w:r w:rsidRPr="0058697B">
        <w:rPr>
          <w:rFonts w:ascii="Times New Roman" w:eastAsia="Times New Roman" w:hAnsi="Times New Roman" w:cs="Times New Roman"/>
        </w:rPr>
        <w:t xml:space="preserve">violences basées sur le </w:t>
      </w:r>
      <w:r>
        <w:rPr>
          <w:rFonts w:ascii="Times New Roman" w:eastAsia="Times New Roman" w:hAnsi="Times New Roman" w:cs="Times New Roman"/>
        </w:rPr>
        <w:t>g</w:t>
      </w:r>
      <w:r w:rsidRPr="0058697B">
        <w:rPr>
          <w:rFonts w:ascii="Times New Roman" w:eastAsia="Times New Roman" w:hAnsi="Times New Roman" w:cs="Times New Roman"/>
        </w:rPr>
        <w:t>enre</w:t>
      </w:r>
      <w:r>
        <w:rPr>
          <w:rFonts w:ascii="Times New Roman" w:eastAsia="Times New Roman" w:hAnsi="Times New Roman" w:cs="Times New Roman"/>
        </w:rPr>
        <w:t>, d</w:t>
      </w:r>
      <w:r w:rsidRPr="0058697B">
        <w:rPr>
          <w:rFonts w:ascii="Times New Roman" w:eastAsia="Times New Roman" w:hAnsi="Times New Roman" w:cs="Times New Roman"/>
        </w:rPr>
        <w:t xml:space="preserve">es enlèvements de femmes et d'enfants et des restrictions à la liberté d'expression. L'état d'urgence a été déclaré dans les régions </w:t>
      </w:r>
      <w:r>
        <w:rPr>
          <w:rFonts w:ascii="Times New Roman" w:eastAsia="Times New Roman" w:hAnsi="Times New Roman" w:cs="Times New Roman"/>
        </w:rPr>
        <w:t xml:space="preserve">de </w:t>
      </w:r>
      <w:r w:rsidRPr="0058697B">
        <w:rPr>
          <w:rFonts w:ascii="Times New Roman" w:eastAsia="Times New Roman" w:hAnsi="Times New Roman" w:cs="Times New Roman"/>
        </w:rPr>
        <w:t xml:space="preserve">Tillabéri, Tahoua et Diffa. </w:t>
      </w:r>
    </w:p>
    <w:p w14:paraId="38864BDD" w14:textId="77777777" w:rsidR="0028280C" w:rsidRDefault="0028280C" w:rsidP="0028280C">
      <w:pPr>
        <w:jc w:val="both"/>
        <w:rPr>
          <w:rFonts w:ascii="Times New Roman" w:hAnsi="Times New Roman" w:cs="Times New Roman"/>
        </w:rPr>
      </w:pPr>
      <w:r>
        <w:rPr>
          <w:rFonts w:ascii="Times New Roman" w:eastAsia="Times New Roman" w:hAnsi="Times New Roman" w:cs="Times New Roman"/>
        </w:rPr>
        <w:t>En outre</w:t>
      </w:r>
      <w:r w:rsidRPr="0058697B">
        <w:rPr>
          <w:rFonts w:ascii="Times New Roman" w:eastAsia="Times New Roman" w:hAnsi="Times New Roman" w:cs="Times New Roman"/>
        </w:rPr>
        <w:t>, des écoles et des centres de santé ont été fermés et certaines activités économiques ont été interrompues.</w:t>
      </w:r>
      <w:r>
        <w:rPr>
          <w:rFonts w:ascii="Times New Roman" w:eastAsia="Times New Roman" w:hAnsi="Times New Roman" w:cs="Times New Roman"/>
        </w:rPr>
        <w:t xml:space="preserve"> </w:t>
      </w:r>
      <w:r w:rsidRPr="003B1E0E">
        <w:rPr>
          <w:rFonts w:ascii="Times New Roman" w:hAnsi="Times New Roman" w:cs="Times New Roman"/>
        </w:rPr>
        <w:t xml:space="preserve">Au 30 novembre 2020, le nombre de personnes en déplacement étaient estimés à environ 564 000, dont 298 000 PDI, 231 000 réfugiés et 34 000 retournés soit une augmentation de 32% par rapport </w:t>
      </w:r>
      <w:r w:rsidRPr="001E2CEB">
        <w:rPr>
          <w:rFonts w:ascii="Times New Roman" w:hAnsi="Times New Roman" w:cs="Times New Roman"/>
          <w:color w:val="000000" w:themeColor="text1"/>
        </w:rPr>
        <w:t>2020</w:t>
      </w:r>
      <w:r w:rsidRPr="003B1E0E">
        <w:rPr>
          <w:rFonts w:ascii="Times New Roman" w:hAnsi="Times New Roman" w:cs="Times New Roman"/>
        </w:rPr>
        <w:t>. Pendant la même période, on a enregistré 2266 incidents de protection contre 1323 en 2019 soit presque le double et 3 261 cas de VBG contre 1 399 en 2019 soit plus de 133%</w:t>
      </w:r>
      <w:r>
        <w:rPr>
          <w:rStyle w:val="Appelnotedebasdep"/>
          <w:rFonts w:ascii="Times New Roman" w:hAnsi="Times New Roman" w:cs="Times New Roman"/>
        </w:rPr>
        <w:footnoteReference w:id="75"/>
      </w:r>
      <w:r w:rsidRPr="003B1E0E">
        <w:rPr>
          <w:rFonts w:ascii="Times New Roman" w:hAnsi="Times New Roman" w:cs="Times New Roman"/>
        </w:rPr>
        <w:t>.</w:t>
      </w:r>
      <w:r>
        <w:rPr>
          <w:rFonts w:ascii="Times New Roman" w:hAnsi="Times New Roman" w:cs="Times New Roman"/>
        </w:rPr>
        <w:t xml:space="preserve"> Les prévisions alarmantes relatives à l’accroissement des taux de morbidité et de létalité de la COVID 19 n’ont pas été confirmées sur tout le territoire national. Cependant, la pandémie a eu de graves conséquences économiques et sociales.    </w:t>
      </w:r>
    </w:p>
    <w:p w14:paraId="13191CAD" w14:textId="7517271A" w:rsidR="0028280C" w:rsidRDefault="0028280C" w:rsidP="0028280C">
      <w:pPr>
        <w:jc w:val="both"/>
        <w:rPr>
          <w:rFonts w:ascii="Times New Roman" w:hAnsi="Times New Roman" w:cs="Times New Roman"/>
        </w:rPr>
      </w:pPr>
      <w:r>
        <w:rPr>
          <w:rFonts w:ascii="Times New Roman" w:hAnsi="Times New Roman" w:cs="Times New Roman"/>
        </w:rPr>
        <w:t xml:space="preserve">En 2021, le nombre de personnes ayant besoin d’assistance humanitaire a été estimé à </w:t>
      </w:r>
      <w:r w:rsidRPr="00E66BCC">
        <w:rPr>
          <w:rFonts w:ascii="Times New Roman" w:hAnsi="Times New Roman" w:cs="Times New Roman"/>
        </w:rPr>
        <w:t xml:space="preserve">3,8 millions contre 3,7 millions en 2020. Les femmes et les enfants, les personnes et les groupes les plus vulnérables ou défavorisés notamment les personnes vivant avec handicap, les personnes âgées, les ménages ou les familles pauvres représentent une proportion importante de cette cible. </w:t>
      </w:r>
      <w:r w:rsidR="0093312C">
        <w:rPr>
          <w:rFonts w:ascii="Times New Roman" w:hAnsi="Times New Roman" w:cs="Times New Roman"/>
        </w:rPr>
        <w:t>I</w:t>
      </w:r>
      <w:r>
        <w:rPr>
          <w:rFonts w:ascii="Times New Roman" w:hAnsi="Times New Roman" w:cs="Times New Roman"/>
        </w:rPr>
        <w:t xml:space="preserve">l n’existe pas </w:t>
      </w:r>
      <w:r w:rsidRPr="001873A3">
        <w:rPr>
          <w:rFonts w:ascii="Times New Roman" w:hAnsi="Times New Roman" w:cs="Times New Roman"/>
        </w:rPr>
        <w:t xml:space="preserve">d’organe de coordination permettant de faire face aux risques et aux catastrophes nationales </w:t>
      </w:r>
      <w:r>
        <w:rPr>
          <w:rFonts w:ascii="Times New Roman" w:hAnsi="Times New Roman" w:cs="Times New Roman"/>
        </w:rPr>
        <w:t>qui tiendrait compte de manière adéquate d</w:t>
      </w:r>
      <w:r w:rsidRPr="001873A3">
        <w:rPr>
          <w:rFonts w:ascii="Times New Roman" w:hAnsi="Times New Roman" w:cs="Times New Roman"/>
        </w:rPr>
        <w:t>es personnes handicapées.</w:t>
      </w:r>
      <w:r>
        <w:rPr>
          <w:rStyle w:val="Appelnotedebasdep"/>
          <w:rFonts w:ascii="Times New Roman" w:hAnsi="Times New Roman" w:cs="Times New Roman"/>
        </w:rPr>
        <w:footnoteReference w:id="76"/>
      </w:r>
      <w:r w:rsidRPr="001873A3">
        <w:rPr>
          <w:rFonts w:ascii="Times New Roman" w:hAnsi="Times New Roman" w:cs="Times New Roman"/>
        </w:rPr>
        <w:t xml:space="preserve"> </w:t>
      </w:r>
      <w:r>
        <w:rPr>
          <w:rFonts w:ascii="Times New Roman" w:hAnsi="Times New Roman" w:cs="Times New Roman"/>
        </w:rPr>
        <w:t>Il n’existe pas non plus d’informations sur</w:t>
      </w:r>
      <w:r w:rsidRPr="001873A3">
        <w:rPr>
          <w:rFonts w:ascii="Times New Roman" w:hAnsi="Times New Roman" w:cs="Times New Roman"/>
        </w:rPr>
        <w:t xml:space="preserve"> la manière dont l’aide humanitaire est rendue accessible aux personnes handicapées, s’agissant notamment des informations relatives aux situations d’urgence, aux systèmes d’évacuation, aux transports et aux centres d’accueil</w:t>
      </w:r>
      <w:r>
        <w:rPr>
          <w:rFonts w:ascii="Times New Roman" w:hAnsi="Times New Roman" w:cs="Times New Roman"/>
        </w:rPr>
        <w:t xml:space="preserve">. </w:t>
      </w:r>
      <w:r w:rsidRPr="00AF128F">
        <w:rPr>
          <w:rFonts w:ascii="Times New Roman" w:hAnsi="Times New Roman" w:cs="Times New Roman"/>
        </w:rPr>
        <w:t>Le plan de réponse humanitaire 2021 vise à apporter l’assistance à 2,1 millions de personnes sur les 3,8 millions de personnes ayant besoin d’assistance humanitaire, soit 57% des personnes dans le besoin. La priorité sera accordée populations affectées par les crises aiguës, les populations déplacées, retournées, les réfugiés, les migrants mais également les populations non déplacées qui accueillent l’un ou l’autre groupe précédemment cité et présentant une vulnérabilité aiguë. Le budget nécessaire pour répondre à ce besoin d’assistance humanitaire est de 523,2 millions USD.</w:t>
      </w:r>
    </w:p>
    <w:p w14:paraId="456DE5F3" w14:textId="0632EE8B" w:rsidR="0028280C" w:rsidRPr="003B1E0E" w:rsidRDefault="0028280C" w:rsidP="0028280C">
      <w:pPr>
        <w:pBdr>
          <w:top w:val="single" w:sz="4" w:space="1" w:color="auto"/>
          <w:left w:val="single" w:sz="4" w:space="4" w:color="auto"/>
          <w:bottom w:val="single" w:sz="4" w:space="1" w:color="auto"/>
          <w:right w:val="single" w:sz="4" w:space="4" w:color="auto"/>
        </w:pBdr>
        <w:shd w:val="clear" w:color="auto" w:fill="92D050"/>
        <w:jc w:val="both"/>
        <w:rPr>
          <w:rFonts w:ascii="Times New Roman" w:hAnsi="Times New Roman" w:cs="Times New Roman"/>
        </w:rPr>
      </w:pPr>
      <w:r>
        <w:rPr>
          <w:rFonts w:ascii="Times New Roman" w:hAnsi="Times New Roman" w:cs="Times New Roman"/>
        </w:rPr>
        <w:lastRenderedPageBreak/>
        <w:t xml:space="preserve">En somme, la description succincte de la situation humanitaire permet de relever que le problème central auquel le Niger </w:t>
      </w:r>
      <w:r w:rsidR="00BD638E">
        <w:rPr>
          <w:rFonts w:ascii="Times New Roman" w:hAnsi="Times New Roman" w:cs="Times New Roman"/>
        </w:rPr>
        <w:t xml:space="preserve">fait face </w:t>
      </w:r>
      <w:r>
        <w:rPr>
          <w:rFonts w:ascii="Times New Roman" w:hAnsi="Times New Roman" w:cs="Times New Roman"/>
        </w:rPr>
        <w:t xml:space="preserve">est l’augmentation persistance du besoin d’assistance humanitaire couplée aux contraintes de mobilisation du financement nécessaire pour y apporter une réponse subséquente.     </w:t>
      </w:r>
      <w:r w:rsidRPr="00AF128F">
        <w:rPr>
          <w:rFonts w:ascii="Times New Roman" w:hAnsi="Times New Roman" w:cs="Times New Roman"/>
        </w:rPr>
        <w:t xml:space="preserve"> </w:t>
      </w:r>
      <w:r>
        <w:rPr>
          <w:rFonts w:ascii="Times New Roman" w:hAnsi="Times New Roman" w:cs="Times New Roman"/>
        </w:rPr>
        <w:t xml:space="preserve">   </w:t>
      </w:r>
    </w:p>
    <w:p w14:paraId="241B7199" w14:textId="77777777" w:rsidR="0028280C" w:rsidRPr="001E2CEB" w:rsidRDefault="0028280C" w:rsidP="0028280C">
      <w:bookmarkStart w:id="172" w:name="_Toc84789678"/>
    </w:p>
    <w:p w14:paraId="4BE1B7A6" w14:textId="77777777" w:rsidR="0028280C" w:rsidRPr="00E25B1F" w:rsidRDefault="0028280C" w:rsidP="00E25B1F">
      <w:pPr>
        <w:pStyle w:val="Titre2"/>
        <w:rPr>
          <w:rFonts w:ascii="Bernard MT Condensed" w:hAnsi="Bernard MT Condensed"/>
        </w:rPr>
      </w:pPr>
      <w:bookmarkStart w:id="173" w:name="_Toc86687729"/>
      <w:bookmarkStart w:id="174" w:name="_Toc89479411"/>
      <w:bookmarkStart w:id="175" w:name="_Toc89480909"/>
      <w:bookmarkStart w:id="176" w:name="_Toc94480151"/>
      <w:bookmarkStart w:id="177" w:name="_Toc94481812"/>
      <w:bookmarkStart w:id="178" w:name="_Toc94482075"/>
      <w:r w:rsidRPr="00E25B1F">
        <w:rPr>
          <w:rFonts w:ascii="Bernard MT Condensed" w:hAnsi="Bernard MT Condensed"/>
        </w:rPr>
        <w:t xml:space="preserve">I.6 - Etat des lieux </w:t>
      </w:r>
      <w:bookmarkEnd w:id="172"/>
      <w:r w:rsidRPr="00E25B1F">
        <w:rPr>
          <w:rFonts w:ascii="Bernard MT Condensed" w:hAnsi="Bernard MT Condensed"/>
        </w:rPr>
        <w:t>de la modernisation du monde rural et le changement climatique</w:t>
      </w:r>
      <w:bookmarkEnd w:id="173"/>
      <w:bookmarkEnd w:id="174"/>
      <w:bookmarkEnd w:id="175"/>
      <w:bookmarkEnd w:id="176"/>
      <w:bookmarkEnd w:id="177"/>
      <w:bookmarkEnd w:id="178"/>
    </w:p>
    <w:p w14:paraId="2D4F3692" w14:textId="77777777" w:rsidR="0028280C" w:rsidRPr="00E25B1F" w:rsidRDefault="0028280C" w:rsidP="0028280C">
      <w:pPr>
        <w:rPr>
          <w:rFonts w:ascii="Bernard MT Condensed" w:hAnsi="Bernard MT Condensed"/>
        </w:rPr>
      </w:pPr>
    </w:p>
    <w:p w14:paraId="52ED3BA8" w14:textId="77777777" w:rsidR="0028280C" w:rsidRPr="00E25B1F" w:rsidRDefault="0028280C" w:rsidP="00E25B1F">
      <w:pPr>
        <w:pStyle w:val="Titre3"/>
        <w:rPr>
          <w:rFonts w:ascii="Bernard MT Condensed" w:hAnsi="Bernard MT Condensed"/>
        </w:rPr>
      </w:pPr>
      <w:bookmarkStart w:id="179" w:name="_Toc86687730"/>
      <w:bookmarkStart w:id="180" w:name="_Toc89479412"/>
      <w:bookmarkStart w:id="181" w:name="_Toc89480910"/>
      <w:bookmarkStart w:id="182" w:name="_Toc94480152"/>
      <w:bookmarkStart w:id="183" w:name="_Toc94481813"/>
      <w:bookmarkStart w:id="184" w:name="_Toc94482076"/>
      <w:r w:rsidRPr="00E25B1F">
        <w:rPr>
          <w:rFonts w:ascii="Bernard MT Condensed" w:hAnsi="Bernard MT Condensed"/>
        </w:rPr>
        <w:t>I.6.1 - Système alimentaire, sécurité alimentaire, nutritionnelle et résilience</w:t>
      </w:r>
      <w:bookmarkEnd w:id="179"/>
      <w:bookmarkEnd w:id="180"/>
      <w:bookmarkEnd w:id="181"/>
      <w:bookmarkEnd w:id="182"/>
      <w:bookmarkEnd w:id="183"/>
      <w:bookmarkEnd w:id="184"/>
      <w:r w:rsidRPr="00E25B1F">
        <w:rPr>
          <w:rFonts w:ascii="Bernard MT Condensed" w:hAnsi="Bernard MT Condensed"/>
        </w:rPr>
        <w:t xml:space="preserve"> </w:t>
      </w:r>
    </w:p>
    <w:p w14:paraId="721673D8" w14:textId="4DD24AB3" w:rsidR="0028280C" w:rsidRDefault="0028280C" w:rsidP="0028280C">
      <w:pPr>
        <w:pStyle w:val="Corpsdetexte"/>
      </w:pPr>
      <w:r w:rsidRPr="008177F8">
        <w:rPr>
          <w:szCs w:val="22"/>
        </w:rPr>
        <w:t xml:space="preserve">Ces dernières décennies, les moyens d’existence des populations sont fréquemment affectés du fait de la détérioration des infrastructures et des conséquences des chocs climatiques. </w:t>
      </w:r>
      <w:r w:rsidRPr="008177F8">
        <w:t>A l’instar des pays sahéliens, le Niger subit de plein fouet les effets du changement climatique entrainant des épisodes de sécheresse et de pluies intenses. Cette situation entraine l’extrême pauvreté</w:t>
      </w:r>
      <w:r w:rsidR="008B766A">
        <w:t xml:space="preserve"> et à un impact</w:t>
      </w:r>
      <w:r w:rsidR="000C756C">
        <w:t xml:space="preserve"> sur les mouvements de populations</w:t>
      </w:r>
      <w:r w:rsidRPr="008177F8">
        <w:t xml:space="preserve"> et par conséquent un accès limité aux ressources et, elle est accentuée par l’utilisation de techniques agricoles non appropriées. </w:t>
      </w:r>
      <w:r>
        <w:t xml:space="preserve"> </w:t>
      </w:r>
      <w:r w:rsidRPr="008177F8">
        <w:t>La dégradation de la situation sécuritaire et l’émergence de pandémies telle que la COVID-19 constitue également de nouveaux facteurs perturbateurs de la sécurité alimentaire et nutritionnelle du fait des restrictions de déplacements, de rupture d’approvisionnement et des pertes de revenus conséquemment aux fermetures des frontières.</w:t>
      </w:r>
    </w:p>
    <w:p w14:paraId="6267212C" w14:textId="77777777" w:rsidR="0028280C" w:rsidRDefault="0028280C" w:rsidP="0028280C">
      <w:pPr>
        <w:pStyle w:val="Corpsdetexte"/>
      </w:pPr>
    </w:p>
    <w:p w14:paraId="297090FE" w14:textId="5F51FAAE" w:rsidR="0028280C" w:rsidRPr="00654F4F" w:rsidRDefault="0028280C" w:rsidP="0028280C">
      <w:pPr>
        <w:pStyle w:val="Corpsdetexte"/>
        <w:pBdr>
          <w:top w:val="single" w:sz="4" w:space="1" w:color="auto"/>
          <w:left w:val="single" w:sz="4" w:space="4" w:color="auto"/>
          <w:bottom w:val="single" w:sz="4" w:space="1" w:color="auto"/>
          <w:right w:val="single" w:sz="4" w:space="4" w:color="auto"/>
        </w:pBdr>
        <w:shd w:val="clear" w:color="auto" w:fill="92D050"/>
        <w:rPr>
          <w:i/>
        </w:rPr>
      </w:pPr>
      <w:r>
        <w:t>En ce qui concerne</w:t>
      </w:r>
      <w:r w:rsidRPr="00654F4F">
        <w:rPr>
          <w:rFonts w:ascii="Bernard MT Condensed" w:hAnsi="Bernard MT Condensed"/>
          <w:sz w:val="24"/>
          <w:szCs w:val="24"/>
        </w:rPr>
        <w:t xml:space="preserve"> </w:t>
      </w:r>
      <w:r>
        <w:t>le s</w:t>
      </w:r>
      <w:r w:rsidRPr="00654F4F">
        <w:t>ystème alimentaire, sécurité alimentaire, nutritionnelle et résilience</w:t>
      </w:r>
      <w:r>
        <w:t xml:space="preserve">, </w:t>
      </w:r>
      <w:r w:rsidRPr="00654F4F">
        <w:rPr>
          <w:b/>
          <w:i/>
          <w:sz w:val="24"/>
          <w:szCs w:val="24"/>
        </w:rPr>
        <w:t>le problème central auquel le Niger reste confronté est la persistance de l’insécurité alimentaire et nutritionnelle</w:t>
      </w:r>
      <w:r>
        <w:t xml:space="preserve"> due aux principales causes suivantes : </w:t>
      </w:r>
      <w:r w:rsidRPr="00654F4F">
        <w:rPr>
          <w:i/>
        </w:rPr>
        <w:t xml:space="preserve">(i) l’insuffisance des productions agro-sylvo-pastorale et halieutiques ; (ii) une faible diversité alimentaire ; (iii) un faible accès aux soins, hygiène et </w:t>
      </w:r>
      <w:r w:rsidR="00832A6D">
        <w:rPr>
          <w:i/>
        </w:rPr>
        <w:t>assainissement et aux pratiques</w:t>
      </w:r>
      <w:r w:rsidR="00832A6D">
        <w:t xml:space="preserve"> </w:t>
      </w:r>
      <w:r w:rsidR="00832A6D" w:rsidRPr="00832A6D">
        <w:rPr>
          <w:i/>
        </w:rPr>
        <w:t>d’alimentation maternelle, du nourrisson, du jeune enfant et de l’adolescent</w:t>
      </w:r>
      <w:r w:rsidR="00832A6D" w:rsidRPr="00654F4F">
        <w:rPr>
          <w:i/>
        </w:rPr>
        <w:t xml:space="preserve"> </w:t>
      </w:r>
      <w:r w:rsidRPr="00654F4F">
        <w:rPr>
          <w:i/>
        </w:rPr>
        <w:t>et (iv) un faible accès aux produits de première nécessité.</w:t>
      </w:r>
    </w:p>
    <w:p w14:paraId="5E772B5A" w14:textId="77777777" w:rsidR="0028280C" w:rsidRDefault="0028280C" w:rsidP="0028280C">
      <w:pPr>
        <w:pStyle w:val="Titre3"/>
        <w:ind w:left="720"/>
        <w:rPr>
          <w:rFonts w:ascii="Times New Roman" w:hAnsi="Times New Roman" w:cs="Times New Roman"/>
          <w:b/>
          <w:i/>
          <w:color w:val="000000" w:themeColor="text1"/>
        </w:rPr>
      </w:pPr>
      <w:bookmarkStart w:id="185" w:name="_Toc86687731"/>
      <w:bookmarkStart w:id="186" w:name="_Toc89479413"/>
    </w:p>
    <w:p w14:paraId="1CC6F5B0" w14:textId="77777777" w:rsidR="0028280C" w:rsidRPr="00654F4F" w:rsidRDefault="0028280C" w:rsidP="0028280C">
      <w:pPr>
        <w:pStyle w:val="Titre3"/>
        <w:numPr>
          <w:ilvl w:val="0"/>
          <w:numId w:val="14"/>
        </w:numPr>
        <w:rPr>
          <w:rFonts w:ascii="Times New Roman" w:hAnsi="Times New Roman" w:cs="Times New Roman"/>
          <w:b/>
          <w:i/>
          <w:color w:val="000000" w:themeColor="text1"/>
        </w:rPr>
      </w:pPr>
      <w:bookmarkStart w:id="187" w:name="_Toc89480911"/>
      <w:bookmarkStart w:id="188" w:name="_Toc94480153"/>
      <w:bookmarkStart w:id="189" w:name="_Toc94481814"/>
      <w:bookmarkStart w:id="190" w:name="_Toc94482077"/>
      <w:r w:rsidRPr="00654F4F">
        <w:rPr>
          <w:rFonts w:ascii="Times New Roman" w:hAnsi="Times New Roman" w:cs="Times New Roman"/>
          <w:b/>
          <w:i/>
          <w:color w:val="000000" w:themeColor="text1"/>
        </w:rPr>
        <w:t>Systèmes alimentaires fragiles et Insuffisance des productions agro-sylvo-pastorales et halieutiques</w:t>
      </w:r>
      <w:bookmarkEnd w:id="185"/>
      <w:bookmarkEnd w:id="186"/>
      <w:bookmarkEnd w:id="187"/>
      <w:bookmarkEnd w:id="188"/>
      <w:bookmarkEnd w:id="189"/>
      <w:bookmarkEnd w:id="190"/>
    </w:p>
    <w:p w14:paraId="17CC1A2F" w14:textId="77777777" w:rsidR="0028280C" w:rsidRPr="009E6D03" w:rsidRDefault="0028280C" w:rsidP="0028280C">
      <w:pPr>
        <w:pStyle w:val="Corpsdetexte"/>
      </w:pPr>
      <w:r>
        <w:t xml:space="preserve">L'approche de développement des chaines de valeur des produits agro-sylvo-pastoraux et halieutiques tend à se focaliser sur les maillons de la production, sans se préoccuper des autres maillons. Cela n'a pas permis au Niger d’assurer une transformation adéquate et croissante de son agriculture vers une couverture diversifiée plus importante des besoins alimentaires, une professionnalisation des acteurs et la création d'emplois décents pour les femmes et les jeunes en </w:t>
      </w:r>
      <w:r w:rsidRPr="00D27D8C">
        <w:t>particulier</w:t>
      </w:r>
      <w:r w:rsidRPr="009E6D03">
        <w:t xml:space="preserve">. L’accès au financement des acteurs des chaînes de valeurs agroalimentaires reste un défi. Les principales contraintes </w:t>
      </w:r>
      <w:r>
        <w:t>à</w:t>
      </w:r>
      <w:r w:rsidRPr="009E6D03">
        <w:t xml:space="preserve"> l’accès au crédit des acteurs du secteur agricole, de la pêche et de l’élevage sont le coût élevé du crédit, l’insuffisance des garanties physiques et financière</w:t>
      </w:r>
      <w:r>
        <w:t>s</w:t>
      </w:r>
      <w:r w:rsidRPr="009E6D03">
        <w:t xml:space="preserve">. Des disparités de développement et des approvisionnements alimentaires persistent entre Niamey, la capitale plus favorisée, et les autres régions administratives. Niamey a absorbé environ 47 % des importations totales du Niger et 32 % des importations de produits alimentaires en 2010. De plus, </w:t>
      </w:r>
      <w:r>
        <w:t>l</w:t>
      </w:r>
      <w:r w:rsidRPr="009E6D03">
        <w:t xml:space="preserve">a faiblesse du système de protection sociale se caractérise par l’insuffisance des services sociaux </w:t>
      </w:r>
      <w:r>
        <w:t xml:space="preserve">et des filets de protection comme les cantines scolaires </w:t>
      </w:r>
      <w:r w:rsidRPr="009E6D03">
        <w:t xml:space="preserve">aux groupes </w:t>
      </w:r>
      <w:r>
        <w:t xml:space="preserve">les plus </w:t>
      </w:r>
      <w:r w:rsidRPr="009E6D03">
        <w:t>vulnérables.</w:t>
      </w:r>
    </w:p>
    <w:p w14:paraId="0C154E3A" w14:textId="7893D2B6" w:rsidR="0028280C" w:rsidRPr="00F25025" w:rsidRDefault="0028280C" w:rsidP="0028280C">
      <w:pPr>
        <w:pStyle w:val="Corpsdetexte"/>
      </w:pPr>
      <w:r w:rsidRPr="009E6D03">
        <w:t>Les systèmes productifs alimentaires font face aux défis fonciers, à la pression humaine, la variabilité du climat et aux effets du changement climatique impactant négativement sur les rendements des productions agro</w:t>
      </w:r>
      <w:r>
        <w:t>-</w:t>
      </w:r>
      <w:r w:rsidRPr="009E6D03">
        <w:t>sylvo</w:t>
      </w:r>
      <w:r>
        <w:t>-</w:t>
      </w:r>
      <w:r w:rsidRPr="009E6D03">
        <w:t xml:space="preserve">pastorales et halieutiques. </w:t>
      </w:r>
      <w:r>
        <w:t>L’insuffisance</w:t>
      </w:r>
      <w:r w:rsidRPr="00F25025">
        <w:t xml:space="preserve"> des productions </w:t>
      </w:r>
      <w:r>
        <w:t>est liée à la d</w:t>
      </w:r>
      <w:r w:rsidRPr="00415369">
        <w:t>égradation des bases productives</w:t>
      </w:r>
      <w:r>
        <w:t>, l’i</w:t>
      </w:r>
      <w:r w:rsidRPr="00415369">
        <w:t>nsuffisance de l’appui-conseil</w:t>
      </w:r>
      <w:r>
        <w:t>, l’i</w:t>
      </w:r>
      <w:r w:rsidRPr="00415369">
        <w:t>rrégularité des pluies</w:t>
      </w:r>
      <w:r>
        <w:t>, la b</w:t>
      </w:r>
      <w:r w:rsidRPr="00415369">
        <w:t xml:space="preserve">aisse de la fertilité </w:t>
      </w:r>
      <w:r w:rsidR="004748C7">
        <w:t xml:space="preserve">et de la santé </w:t>
      </w:r>
      <w:r w:rsidRPr="00415369">
        <w:t>des sols</w:t>
      </w:r>
      <w:r>
        <w:t>, la pression des e</w:t>
      </w:r>
      <w:r w:rsidRPr="00415369">
        <w:t>nnemis des cultures</w:t>
      </w:r>
      <w:r>
        <w:t>, la f</w:t>
      </w:r>
      <w:r w:rsidRPr="00415369">
        <w:t xml:space="preserve">aible diversification et </w:t>
      </w:r>
      <w:r>
        <w:t>l’</w:t>
      </w:r>
      <w:r w:rsidRPr="00415369">
        <w:t>intensification agricole</w:t>
      </w:r>
      <w:r>
        <w:t>, l’i</w:t>
      </w:r>
      <w:r w:rsidRPr="00415369">
        <w:t>nsuffisance de la valorisation des terres irriguées</w:t>
      </w:r>
      <w:r>
        <w:t>, le f</w:t>
      </w:r>
      <w:r w:rsidRPr="00415369">
        <w:t>aible investissement dans la recherche agronomique</w:t>
      </w:r>
      <w:r>
        <w:t>, la f</w:t>
      </w:r>
      <w:r w:rsidRPr="00415369">
        <w:t>aible vulgarisation agricole</w:t>
      </w:r>
      <w:r>
        <w:t>, la f</w:t>
      </w:r>
      <w:r w:rsidRPr="00415369">
        <w:t>aible mécanisation agricole</w:t>
      </w:r>
      <w:r>
        <w:t>,</w:t>
      </w:r>
      <w:r w:rsidRPr="00415369">
        <w:t xml:space="preserve"> </w:t>
      </w:r>
      <w:r>
        <w:t>la c</w:t>
      </w:r>
      <w:r w:rsidRPr="00415369">
        <w:t>olonisation des pâturages par les espèces non appétées</w:t>
      </w:r>
      <w:r>
        <w:t>, la f</w:t>
      </w:r>
      <w:r w:rsidRPr="00415369">
        <w:t xml:space="preserve">aible accessibilité </w:t>
      </w:r>
      <w:r w:rsidR="00C03B5C">
        <w:t>et l’utilisation inappropriées des</w:t>
      </w:r>
      <w:r w:rsidRPr="00415369">
        <w:t xml:space="preserve"> intrants agricoles</w:t>
      </w:r>
      <w:r>
        <w:t>, la f</w:t>
      </w:r>
      <w:r w:rsidRPr="00415369">
        <w:t>aible maitrise de l’eau</w:t>
      </w:r>
      <w:r>
        <w:t xml:space="preserve"> et les p</w:t>
      </w:r>
      <w:r w:rsidRPr="00415369">
        <w:t>ratiques culturales inappropriées</w:t>
      </w:r>
      <w:r>
        <w:t xml:space="preserve">. </w:t>
      </w:r>
    </w:p>
    <w:p w14:paraId="2866AFAF" w14:textId="77777777" w:rsidR="0028280C" w:rsidRDefault="0028280C" w:rsidP="0028280C">
      <w:pPr>
        <w:pStyle w:val="Corpsdetexte"/>
        <w:spacing w:before="0" w:after="0"/>
      </w:pPr>
      <w:r>
        <w:lastRenderedPageBreak/>
        <w:t>Ainsi, l</w:t>
      </w:r>
      <w:r w:rsidRPr="00002452">
        <w:t xml:space="preserve">’agriculture est le secteur le plus important de l’économie du Niger. Elle représente plus de 40% du produit intérieur brut national et constitue la principale source de revenus pour plus de 80% de la population. </w:t>
      </w:r>
      <w:r>
        <w:t xml:space="preserve">Au cours des cinq dernières années la production nette des céréales est estimée en moyenne à 5 millions de tonnes pour un besoin total de 4,8 millions de tonnes et a un taux de dépendance aux importations de 13,5%. Malgré son étendue, le Niger dispose de peu de terres cultivables </w:t>
      </w:r>
      <w:r w:rsidRPr="009E6D03">
        <w:t xml:space="preserve">(moins de 4% du territoire). </w:t>
      </w:r>
      <w:r w:rsidRPr="00DB201C">
        <w:t>Bien que 71,8% des femmes actives au Niger travaillent dans les chaines de valeurs des produits liés à l’agriculture, l’élevage ou la pêche, plusieurs contraintes entravent leur pleine participation au développement agricole, notamment l’accès à la terre et à l’irrigation. De plus, malgré l’importance du cheptel, les productions animales demeurent faibles du fait notamment de la faible disponibilité du pâturage. En moyenne le Niger importe 50% de ses besoins en lait.  La crise du pastoralisme est accentuée par l’insécurité</w:t>
      </w:r>
      <w:r w:rsidRPr="00610579">
        <w:rPr>
          <w:bCs/>
        </w:rPr>
        <w:t xml:space="preserve"> qui concourt à la décapitalisation des éleveurs, c’est-à-dire la dépossession de leurs animaux.</w:t>
      </w:r>
      <w:r>
        <w:rPr>
          <w:bCs/>
        </w:rPr>
        <w:t xml:space="preserve"> </w:t>
      </w:r>
      <w:r w:rsidRPr="00610579">
        <w:rPr>
          <w:bCs/>
        </w:rPr>
        <w:t>Le pays dispose de très peu de ressources halieutiques avec une production annuelle estimée à 40 mille tonnes. L’offre de poisson, fortement déficitaire, entraîne une importation de poisson (frais d’eau douce, congelés de mer) en provenance de la sous-région</w:t>
      </w:r>
      <w:r>
        <w:rPr>
          <w:bCs/>
        </w:rPr>
        <w:t xml:space="preserve"> </w:t>
      </w:r>
      <w:r w:rsidRPr="00610579">
        <w:rPr>
          <w:bCs/>
        </w:rPr>
        <w:t>dont les quantités annuelles varient de 350 à 700 tonnes</w:t>
      </w:r>
      <w:r>
        <w:rPr>
          <w:bCs/>
        </w:rPr>
        <w:t>.</w:t>
      </w:r>
    </w:p>
    <w:p w14:paraId="066E914A" w14:textId="77777777" w:rsidR="0028280C" w:rsidRPr="00654F4F" w:rsidRDefault="0028280C" w:rsidP="0028280C">
      <w:pPr>
        <w:pStyle w:val="Titre3"/>
        <w:numPr>
          <w:ilvl w:val="0"/>
          <w:numId w:val="14"/>
        </w:numPr>
        <w:rPr>
          <w:rFonts w:ascii="Times New Roman" w:hAnsi="Times New Roman" w:cs="Times New Roman"/>
          <w:b/>
          <w:i/>
          <w:color w:val="000000" w:themeColor="text1"/>
        </w:rPr>
      </w:pPr>
      <w:bookmarkStart w:id="191" w:name="_Toc86687732"/>
      <w:bookmarkStart w:id="192" w:name="_Toc89479414"/>
      <w:bookmarkStart w:id="193" w:name="_Toc89480912"/>
      <w:bookmarkStart w:id="194" w:name="_Toc94480154"/>
      <w:bookmarkStart w:id="195" w:name="_Toc94481815"/>
      <w:bookmarkStart w:id="196" w:name="_Toc94482078"/>
      <w:r w:rsidRPr="00654F4F">
        <w:rPr>
          <w:rFonts w:ascii="Times New Roman" w:hAnsi="Times New Roman" w:cs="Times New Roman"/>
          <w:b/>
          <w:i/>
          <w:color w:val="000000" w:themeColor="text1"/>
        </w:rPr>
        <w:t>Faible diversité alimentaire</w:t>
      </w:r>
      <w:bookmarkEnd w:id="191"/>
      <w:bookmarkEnd w:id="192"/>
      <w:bookmarkEnd w:id="193"/>
      <w:bookmarkEnd w:id="194"/>
      <w:bookmarkEnd w:id="195"/>
      <w:bookmarkEnd w:id="196"/>
      <w:r w:rsidRPr="00654F4F">
        <w:rPr>
          <w:rFonts w:ascii="Times New Roman" w:hAnsi="Times New Roman" w:cs="Times New Roman"/>
          <w:b/>
          <w:i/>
          <w:color w:val="000000" w:themeColor="text1"/>
        </w:rPr>
        <w:t xml:space="preserve"> </w:t>
      </w:r>
    </w:p>
    <w:p w14:paraId="5AC866A6" w14:textId="77777777" w:rsidR="0028280C" w:rsidRDefault="0028280C" w:rsidP="0028280C">
      <w:pPr>
        <w:pStyle w:val="Corpsdetexte"/>
      </w:pPr>
      <w:r>
        <w:t>La f</w:t>
      </w:r>
      <w:r w:rsidRPr="00F25025">
        <w:t>aible diversité alimentaire</w:t>
      </w:r>
      <w:r>
        <w:t xml:space="preserve"> est entrainée par : les mauvaises h</w:t>
      </w:r>
      <w:r w:rsidRPr="00415369">
        <w:t>abitudes alimentaires</w:t>
      </w:r>
      <w:r>
        <w:t xml:space="preserve"> des ménages qui ne satisfont pas toujours aux normes nutritionnelles recommandées, le f</w:t>
      </w:r>
      <w:r w:rsidRPr="00415369">
        <w:t>aible revenu</w:t>
      </w:r>
      <w:r>
        <w:t xml:space="preserve"> qui ne permet pas aux ménages de diversifier leur alimentation, le f</w:t>
      </w:r>
      <w:r w:rsidRPr="00415369">
        <w:t xml:space="preserve">aible </w:t>
      </w:r>
      <w:r>
        <w:t xml:space="preserve">niveau de </w:t>
      </w:r>
      <w:r w:rsidRPr="00415369">
        <w:t>transformation des produits alimentaires</w:t>
      </w:r>
      <w:r>
        <w:t xml:space="preserve"> qui ne favorise pas une meilleure valorisation nutritionnelle, l’i</w:t>
      </w:r>
      <w:r w:rsidRPr="00415369">
        <w:t>nsuffisance de la recherche et développement des produits</w:t>
      </w:r>
      <w:r>
        <w:t xml:space="preserve">. En effet, l’alimentation demeure peu variée et repose principalement sur la consommation des céréales. Cela s’explique en grande partie par des facteurs socioculturels qui ne favorisent pas la consommation de certains aliments. A cela s’ajoute le faible revenu des ménages ruraux, notamment ceux dirigés par une femme. En 2014, les résultats de l’enquête sur la diversité alimentaire des femmes âgées de 15 à 49 ans dans les vingt-quatre (24) communes de convergences, montrent une très faible diversité alimentaire des femmes. En effet, le score moyen de 2,8 observés au cours de l’enquête est très en dessous de 4,5 représentants le score moyen de consommation des neufs (9) groupes d’aliments entrant dans le calcul du SDAF. </w:t>
      </w:r>
    </w:p>
    <w:p w14:paraId="5516D2EF" w14:textId="77777777" w:rsidR="0028280C" w:rsidRPr="00654F4F" w:rsidRDefault="0028280C" w:rsidP="0028280C">
      <w:pPr>
        <w:pStyle w:val="Titre3"/>
        <w:numPr>
          <w:ilvl w:val="0"/>
          <w:numId w:val="14"/>
        </w:numPr>
        <w:rPr>
          <w:rFonts w:ascii="Times New Roman" w:hAnsi="Times New Roman" w:cs="Times New Roman"/>
          <w:b/>
          <w:i/>
        </w:rPr>
      </w:pPr>
      <w:bookmarkStart w:id="197" w:name="_Toc86687733"/>
      <w:bookmarkStart w:id="198" w:name="_Toc89479415"/>
      <w:bookmarkStart w:id="199" w:name="_Toc89480913"/>
      <w:bookmarkStart w:id="200" w:name="_Toc94480155"/>
      <w:bookmarkStart w:id="201" w:name="_Toc94481816"/>
      <w:bookmarkStart w:id="202" w:name="_Toc94482079"/>
      <w:r w:rsidRPr="00654F4F">
        <w:rPr>
          <w:rFonts w:ascii="Times New Roman" w:hAnsi="Times New Roman" w:cs="Times New Roman"/>
          <w:b/>
          <w:i/>
          <w:color w:val="000000" w:themeColor="text1"/>
        </w:rPr>
        <w:t>Faible accès aux soins, hygiène, assainissement et pratique de l’allaitement maternel</w:t>
      </w:r>
      <w:bookmarkEnd w:id="197"/>
      <w:bookmarkEnd w:id="198"/>
      <w:bookmarkEnd w:id="199"/>
      <w:bookmarkEnd w:id="200"/>
      <w:bookmarkEnd w:id="201"/>
      <w:bookmarkEnd w:id="202"/>
      <w:r w:rsidRPr="00654F4F">
        <w:rPr>
          <w:rFonts w:ascii="Times New Roman" w:hAnsi="Times New Roman" w:cs="Times New Roman"/>
          <w:b/>
          <w:i/>
          <w:color w:val="000000" w:themeColor="text1"/>
        </w:rPr>
        <w:t xml:space="preserve"> </w:t>
      </w:r>
    </w:p>
    <w:p w14:paraId="67A6F27D" w14:textId="77777777" w:rsidR="0028280C" w:rsidRDefault="0028280C" w:rsidP="0028280C">
      <w:pPr>
        <w:pStyle w:val="Corpsdetexte"/>
      </w:pPr>
      <w:r>
        <w:t>Le faible a</w:t>
      </w:r>
      <w:r w:rsidRPr="00F25025">
        <w:t xml:space="preserve">ccès aux soins, </w:t>
      </w:r>
      <w:r>
        <w:t xml:space="preserve">à </w:t>
      </w:r>
      <w:r w:rsidRPr="00F25025">
        <w:t xml:space="preserve">hygiène, </w:t>
      </w:r>
      <w:r>
        <w:t xml:space="preserve">à </w:t>
      </w:r>
      <w:r w:rsidRPr="00F25025">
        <w:t>assainissement et pratique de l’allaitement maternel</w:t>
      </w:r>
      <w:r>
        <w:t xml:space="preserve"> est due : au f</w:t>
      </w:r>
      <w:r w:rsidRPr="005232DF">
        <w:t>aible niveau d’éducation nutritionnelle</w:t>
      </w:r>
      <w:r>
        <w:t>, à l’i</w:t>
      </w:r>
      <w:r w:rsidRPr="005232DF">
        <w:t>nsuffisance infrastructures sociales</w:t>
      </w:r>
      <w:r>
        <w:t>, au f</w:t>
      </w:r>
      <w:r w:rsidRPr="005232DF">
        <w:t>aible niveau d’éducation des mères</w:t>
      </w:r>
      <w:r>
        <w:t xml:space="preserve">. Le niveau d’accès aux services sociaux de base est relativement faible. Globalement le taux d’accès aux soins est de 49% et plus de 70% de la population pratique la défécation à l’air libre. </w:t>
      </w:r>
      <w:r w:rsidRPr="00C640F7">
        <w:t>Au Niger, seules</w:t>
      </w:r>
      <w:r w:rsidRPr="009E6D03">
        <w:t> deux femmes sur dix</w:t>
      </w:r>
      <w:r w:rsidRPr="00C640F7">
        <w:t xml:space="preserve"> pratiquent l’allaitement maternel exclusif, tandis que la moitié des mères donnent de l’eau à leurs bébés. </w:t>
      </w:r>
      <w:r w:rsidRPr="009E6D03">
        <w:t>Près de 60% des jeunes femmes n’ont aucun niveau d’instruction contre près de 40% des jeunes hommes. Aussi, le taux global d’alphabétisation est de 30,11% en 2012, mais avec une inégalité selon le sexe avec 38,64% chez les hommes contre 22,10% chez les femmes.</w:t>
      </w:r>
      <w:r>
        <w:t xml:space="preserve"> Il faut aussi </w:t>
      </w:r>
      <w:r w:rsidRPr="009E6D03">
        <w:t>constate</w:t>
      </w:r>
      <w:r>
        <w:t>r</w:t>
      </w:r>
      <w:r w:rsidRPr="009E6D03">
        <w:t xml:space="preserve"> que 74% des ménages ne sont pas en mesure d’acheter </w:t>
      </w:r>
      <w:r>
        <w:t xml:space="preserve">une </w:t>
      </w:r>
      <w:r w:rsidRPr="009E6D03">
        <w:t>alimentation nutritive</w:t>
      </w:r>
      <w:r>
        <w:t xml:space="preserve"> ; elle </w:t>
      </w:r>
      <w:r w:rsidRPr="009E6D03">
        <w:t>n’est pas abordable pour 59 à 79% des ménages, tandis que l’alimentation énergétique n’est pas abordable pour 16 à 52% des ménages. Les pratiques d’ANJE dans les régions de Maradi et Zinder reflètent en gros les moyennes nationales, avec quelques exceptions : notamment, des taux d’allaitement maternel plus bas à Zinder (16% exclusif jusqu’à 6 mois et 23% continu pour 2 ans, contre 21% et 51% respectivement au niveau national), et des taux plus bas pour la diversité alimentaire minimale et le minimum alimentaire acceptable dans les deux régions (12% au niveau national, mais 9% à Maradi et  7% à Zinder) (SMART sept/oct. 2020).</w:t>
      </w:r>
    </w:p>
    <w:p w14:paraId="0AB1932F" w14:textId="77777777" w:rsidR="0028280C" w:rsidRPr="00654F4F" w:rsidRDefault="0028280C" w:rsidP="0028280C">
      <w:pPr>
        <w:pStyle w:val="Titre3"/>
        <w:numPr>
          <w:ilvl w:val="0"/>
          <w:numId w:val="14"/>
        </w:numPr>
        <w:rPr>
          <w:rFonts w:ascii="Times New Roman" w:hAnsi="Times New Roman" w:cs="Times New Roman"/>
          <w:b/>
          <w:i/>
          <w:color w:val="000000" w:themeColor="text1"/>
        </w:rPr>
      </w:pPr>
      <w:bookmarkStart w:id="203" w:name="_Toc86687734"/>
      <w:bookmarkStart w:id="204" w:name="_Toc89479416"/>
      <w:bookmarkStart w:id="205" w:name="_Toc89480914"/>
      <w:bookmarkStart w:id="206" w:name="_Toc94480156"/>
      <w:bookmarkStart w:id="207" w:name="_Toc94481817"/>
      <w:bookmarkStart w:id="208" w:name="_Toc94482080"/>
      <w:r w:rsidRPr="00654F4F">
        <w:rPr>
          <w:rFonts w:ascii="Times New Roman" w:hAnsi="Times New Roman" w:cs="Times New Roman"/>
          <w:b/>
          <w:i/>
          <w:color w:val="000000" w:themeColor="text1"/>
        </w:rPr>
        <w:t>Faible accès au marché et aux produits de première nécessité</w:t>
      </w:r>
      <w:bookmarkEnd w:id="203"/>
      <w:bookmarkEnd w:id="204"/>
      <w:bookmarkEnd w:id="205"/>
      <w:bookmarkEnd w:id="206"/>
      <w:bookmarkEnd w:id="207"/>
      <w:bookmarkEnd w:id="208"/>
      <w:r w:rsidRPr="00654F4F">
        <w:rPr>
          <w:rFonts w:ascii="Times New Roman" w:hAnsi="Times New Roman" w:cs="Times New Roman"/>
          <w:b/>
          <w:i/>
          <w:color w:val="000000" w:themeColor="text1"/>
        </w:rPr>
        <w:t xml:space="preserve"> </w:t>
      </w:r>
    </w:p>
    <w:p w14:paraId="59682985" w14:textId="77777777" w:rsidR="0028280C" w:rsidRDefault="0028280C" w:rsidP="0028280C">
      <w:pPr>
        <w:pStyle w:val="Corpsdetexte"/>
        <w:rPr>
          <w:rFonts w:cstheme="minorHAnsi"/>
          <w:bCs/>
        </w:rPr>
      </w:pPr>
      <w:r>
        <w:t>Il est lié à l’i</w:t>
      </w:r>
      <w:r w:rsidRPr="007502A1">
        <w:t>nsécurité</w:t>
      </w:r>
      <w:r>
        <w:t>, au f</w:t>
      </w:r>
      <w:r w:rsidRPr="007502A1">
        <w:t>aible accès physique</w:t>
      </w:r>
      <w:r>
        <w:t xml:space="preserve"> et</w:t>
      </w:r>
      <w:r w:rsidRPr="007502A1">
        <w:t xml:space="preserve"> économique aux marchés</w:t>
      </w:r>
      <w:r>
        <w:t>, à la r</w:t>
      </w:r>
      <w:r w:rsidRPr="007502A1">
        <w:t>estriction des échanges entre les pays</w:t>
      </w:r>
      <w:r>
        <w:t>, à la d</w:t>
      </w:r>
      <w:r w:rsidRPr="007502A1">
        <w:t>étérioration des termes de l’échange</w:t>
      </w:r>
      <w:r>
        <w:t>, à la h</w:t>
      </w:r>
      <w:r w:rsidRPr="007502A1">
        <w:t>ausse des prix des denrées de première nécessité</w:t>
      </w:r>
      <w:r>
        <w:t xml:space="preserve">. L’accessibilité aux marchés et aux denrées de base est complexifiée par des facteurs physiques (mauvais états des routes) à un déficit d’infrastructures de stockage, à l’éloignement des producteurs des pôles de développement, à un manque de circuits de commercialisation organisés, à un tissu industriel </w:t>
      </w:r>
      <w:r>
        <w:lastRenderedPageBreak/>
        <w:t xml:space="preserve">agro-industriel limité. Au cours des cinq dernières années les prix des céréales sont marqués par </w:t>
      </w:r>
      <w:r w:rsidRPr="006567EB">
        <w:rPr>
          <w:rFonts w:cstheme="minorHAnsi"/>
          <w:bCs/>
        </w:rPr>
        <w:t>des hausses importantes pour les années 2012, 2017 et 2021. Les baisses les plus importantes ont été observées entre 2014 et 2015 puis 2018 et 2019.</w:t>
      </w:r>
      <w:r>
        <w:rPr>
          <w:rFonts w:cstheme="minorHAnsi"/>
          <w:bCs/>
        </w:rPr>
        <w:t xml:space="preserve"> </w:t>
      </w:r>
      <w:r w:rsidRPr="006567EB">
        <w:rPr>
          <w:rFonts w:cstheme="minorHAnsi"/>
          <w:bCs/>
        </w:rPr>
        <w:t>Comparé à l’année 2012 (qui était une année de hausse atypique des prix des céréales) au mois d’avril, le prix du mil est plus haut de 3%.</w:t>
      </w:r>
      <w:r>
        <w:rPr>
          <w:rFonts w:cstheme="minorHAnsi"/>
          <w:bCs/>
        </w:rPr>
        <w:t xml:space="preserve"> Il en est de même pour le Sorgho où</w:t>
      </w:r>
      <w:r w:rsidRPr="006567EB">
        <w:rPr>
          <w:rFonts w:cstheme="minorHAnsi"/>
          <w:bCs/>
        </w:rPr>
        <w:t xml:space="preserve"> le prix moyen est en hausse de 19% et 18% </w:t>
      </w:r>
      <w:r>
        <w:rPr>
          <w:rFonts w:cstheme="minorHAnsi"/>
          <w:bCs/>
        </w:rPr>
        <w:t xml:space="preserve">par rapport à </w:t>
      </w:r>
      <w:r w:rsidRPr="006567EB">
        <w:rPr>
          <w:rFonts w:cstheme="minorHAnsi"/>
          <w:bCs/>
        </w:rPr>
        <w:t>l’année passée et à la moyen</w:t>
      </w:r>
      <w:r>
        <w:rPr>
          <w:rFonts w:cstheme="minorHAnsi"/>
          <w:bCs/>
        </w:rPr>
        <w:t>ne quinquennale respectivement.</w:t>
      </w:r>
    </w:p>
    <w:p w14:paraId="0C0DBD0B" w14:textId="77777777" w:rsidR="0028280C" w:rsidRPr="008177F8" w:rsidRDefault="0028280C" w:rsidP="0028280C">
      <w:pPr>
        <w:pStyle w:val="Corpsdetexte"/>
      </w:pPr>
      <w:r w:rsidRPr="008177F8">
        <w:t xml:space="preserve">Pour faire face à l’insécurité alimentaire et nutritionnelle fortement élevée, le Niger a mis en place plusieurs cadres légaux et institutionnels favorables, caractérisés par des réformes ayant permis à l’instauration des politiques et institutions contribuant à booster le système agro-sylvo-pastoral à travers le </w:t>
      </w:r>
      <w:bookmarkStart w:id="209" w:name="_Hlk81037434"/>
      <w:r w:rsidRPr="008177F8">
        <w:t>PDES, l’I3N, la BAGRI, le FISAN, l’ANFICT, l’ANSI, APCA, le RECA, et les Programmes/Projets dont le PAC/RC, le PGRCDU, le PRODAF, le PASEC, le MCA, le PRAPS, PARIS, PECEA, PAPI, PADAD/NIGG21 KANDADJI, la revue stratégique faim zéro</w:t>
      </w:r>
      <w:bookmarkEnd w:id="209"/>
      <w:r w:rsidRPr="008177F8">
        <w:t>, l’étude sur le coût de la faim, le Panier Minimum de Base etc. qui accompagnent ce cadre légal avec l’appui des partenaires techniques et financiers. À cela il faut ajouter (i) le plan de réforme du secteur des engrais adopté à travers la Stratégie Décentralisée et Partenariale d’Approvisionnement en intrants pour une Agriculture Durable (SIAD, 2013), (ii) l’adoption de la Stratégie Nationale de Petite Irrigation (SPIN) qui actualise la Stratégie Nationale de Développement de l’Irrigation et de Collecte des Eaux de Ruissellement (SNDI/CER), (iii) l’adoption de la Stratégie Nationale d’Hydraulique Pastorale (SNHP), (iv) les réformes opérées de l’Office National des Aménagements Hydro Agricoles (ONAHA) etc.</w:t>
      </w:r>
    </w:p>
    <w:p w14:paraId="061A0DCA" w14:textId="77777777" w:rsidR="0028280C" w:rsidRDefault="0028280C" w:rsidP="0028280C">
      <w:pPr>
        <w:pStyle w:val="Corpsdetexte"/>
      </w:pPr>
      <w:r w:rsidRPr="008177F8">
        <w:t>Le Niger dispose aussi d’un potentiel de ressources en eau renouvelables estimé à 34,5 milliards de mètres-cube dont environ 32 milliards de mètres-cube en eau de surface et 2,5 milliards de mètres-cube d’eau souterraine. Ces ressources en eau sont utilisables à divers usages dont les activités de production agro-sylvo-pastorale et halieutique, mais elles ne sont pas toujours accessibles.</w:t>
      </w:r>
    </w:p>
    <w:p w14:paraId="308FBA1A" w14:textId="77777777" w:rsidR="0028280C" w:rsidRPr="00654F4F" w:rsidRDefault="0028280C" w:rsidP="0028280C">
      <w:pPr>
        <w:pStyle w:val="Corpsdetexte"/>
      </w:pPr>
    </w:p>
    <w:p w14:paraId="14E3485F" w14:textId="77777777" w:rsidR="0028280C" w:rsidRPr="00E25B1F" w:rsidRDefault="0028280C" w:rsidP="00E25B1F">
      <w:pPr>
        <w:pStyle w:val="Titre3"/>
        <w:rPr>
          <w:rFonts w:ascii="Bernard MT Condensed" w:hAnsi="Bernard MT Condensed"/>
        </w:rPr>
      </w:pPr>
      <w:bookmarkStart w:id="210" w:name="_Toc86687735"/>
      <w:bookmarkStart w:id="211" w:name="_Toc89479417"/>
      <w:bookmarkStart w:id="212" w:name="_Toc89480915"/>
      <w:bookmarkStart w:id="213" w:name="_Toc94480157"/>
      <w:bookmarkStart w:id="214" w:name="_Toc94481818"/>
      <w:bookmarkStart w:id="215" w:name="_Toc94482081"/>
      <w:r w:rsidRPr="00E25B1F">
        <w:rPr>
          <w:rFonts w:ascii="Bernard MT Condensed" w:hAnsi="Bernard MT Condensed"/>
        </w:rPr>
        <w:t>I.6.2 - GESTION DES RISQUES ET CATASTROPHES</w:t>
      </w:r>
      <w:bookmarkEnd w:id="210"/>
      <w:bookmarkEnd w:id="211"/>
      <w:bookmarkEnd w:id="212"/>
      <w:bookmarkEnd w:id="213"/>
      <w:bookmarkEnd w:id="214"/>
      <w:bookmarkEnd w:id="215"/>
    </w:p>
    <w:p w14:paraId="30EC9AFE" w14:textId="10B60F9F" w:rsidR="00CD78AF" w:rsidRPr="008177F8" w:rsidRDefault="0028280C" w:rsidP="0028280C">
      <w:pPr>
        <w:pStyle w:val="Corpsdetexte"/>
      </w:pPr>
      <w:r w:rsidRPr="008177F8">
        <w:t xml:space="preserve">Le Niger est particulièrement concerné par les trappes à vulnérabilité et les catastrophes naturelles et anthropiques à différentes échelles territoriales. Il s’agit des risques climatiques et météorologiques (les sècheresses, les inondations, vents violents, les températures élevées), les risques sanitaires (le charbon bactéridien, </w:t>
      </w:r>
      <w:r w:rsidR="00F5173D">
        <w:t xml:space="preserve">les épidémies notamment de choléra, </w:t>
      </w:r>
      <w:r w:rsidRPr="008177F8">
        <w:t>les maladies cardio-vasculaires), les risques liés à la production (les pertes post-récoltes, les ennemis de cultures), conflits agriculteurs-éleveurs, insuffisance des moyens de stockage et de transformation, etc. En effet, le Niger reste confronté à une récurrence de sécheresses qui se caractérisent par des pauses pluviométriques (modification du calendrier agricole), les inondations/pluies diluviennes/débordement des cours d'eau et des tempêtes de sable. À cela s’ajoute la désertification et l’érosion éolienne sans compter les épisodes cycliques des ennemies de cultures et des épizooties qui détruisent cultures et pâturages ainsi qu’une faible implication du secteur privé dans la gestion des risques de catastrophes.</w:t>
      </w:r>
    </w:p>
    <w:p w14:paraId="1EF19667" w14:textId="77777777" w:rsidR="0028280C" w:rsidRDefault="0028280C" w:rsidP="0028280C">
      <w:pPr>
        <w:pStyle w:val="Corpsdetexte"/>
        <w:pBdr>
          <w:top w:val="single" w:sz="4" w:space="1" w:color="auto"/>
          <w:left w:val="single" w:sz="4" w:space="4" w:color="auto"/>
          <w:bottom w:val="single" w:sz="4" w:space="1" w:color="auto"/>
          <w:right w:val="single" w:sz="4" w:space="4" w:color="auto"/>
        </w:pBdr>
        <w:shd w:val="clear" w:color="auto" w:fill="92D050"/>
      </w:pPr>
      <w:r>
        <w:t xml:space="preserve">Dans le domaine de la gestion des risques et des catastrophes, l’analyse causale a mis en lumière le problème central suivant : </w:t>
      </w:r>
      <w:r w:rsidRPr="00654F4F">
        <w:rPr>
          <w:b/>
          <w:i/>
          <w:sz w:val="24"/>
          <w:szCs w:val="24"/>
        </w:rPr>
        <w:t>La faible résilience des populations face aux risques de catastrophes</w:t>
      </w:r>
      <w:r>
        <w:t xml:space="preserve"> est due principalement à : </w:t>
      </w:r>
      <w:r w:rsidRPr="00654F4F">
        <w:rPr>
          <w:i/>
        </w:rPr>
        <w:t>(i) l’insuffisance dans le domaine de la planification, (ii) la faible capacité d’adaptation aux changements climatiques, (iii) la diminution et la dégradation des terres arables et (iv) l’insuffisance des réseaux d’ouvrages et de leur entretien</w:t>
      </w:r>
      <w:r w:rsidRPr="00CF3DE3">
        <w:t>.</w:t>
      </w:r>
    </w:p>
    <w:p w14:paraId="4F13627F" w14:textId="77777777" w:rsidR="003740B4" w:rsidRPr="003740B4" w:rsidRDefault="003740B4" w:rsidP="003740B4"/>
    <w:p w14:paraId="34952F35" w14:textId="77777777" w:rsidR="0028280C" w:rsidRPr="00654F4F" w:rsidRDefault="0028280C" w:rsidP="0028280C">
      <w:pPr>
        <w:pStyle w:val="Titre3"/>
        <w:numPr>
          <w:ilvl w:val="0"/>
          <w:numId w:val="14"/>
        </w:numPr>
        <w:rPr>
          <w:rFonts w:ascii="Times New Roman" w:hAnsi="Times New Roman" w:cs="Times New Roman"/>
          <w:b/>
          <w:i/>
          <w:color w:val="000000" w:themeColor="text1"/>
        </w:rPr>
      </w:pPr>
      <w:bookmarkStart w:id="216" w:name="_Toc86687736"/>
      <w:bookmarkStart w:id="217" w:name="_Toc89479418"/>
      <w:bookmarkStart w:id="218" w:name="_Toc89480916"/>
      <w:bookmarkStart w:id="219" w:name="_Toc94480158"/>
      <w:bookmarkStart w:id="220" w:name="_Toc94481819"/>
      <w:bookmarkStart w:id="221" w:name="_Toc94482082"/>
      <w:r w:rsidRPr="00654F4F">
        <w:rPr>
          <w:rFonts w:ascii="Times New Roman" w:hAnsi="Times New Roman" w:cs="Times New Roman"/>
          <w:b/>
          <w:i/>
          <w:color w:val="000000" w:themeColor="text1"/>
        </w:rPr>
        <w:t>Insuffisance dans le domaine de la planification</w:t>
      </w:r>
      <w:bookmarkEnd w:id="216"/>
      <w:bookmarkEnd w:id="217"/>
      <w:bookmarkEnd w:id="218"/>
      <w:bookmarkEnd w:id="219"/>
      <w:bookmarkEnd w:id="220"/>
      <w:bookmarkEnd w:id="221"/>
    </w:p>
    <w:p w14:paraId="5A40D10E" w14:textId="66384F00" w:rsidR="0028280C" w:rsidRPr="00CF3DE3" w:rsidRDefault="0028280C" w:rsidP="0028280C">
      <w:pPr>
        <w:pStyle w:val="Corpsdetexte"/>
      </w:pPr>
      <w:r>
        <w:t xml:space="preserve">Les lacunes observées dans le domaine de la planification découlent de l’occupation anarchique de l’espace, de la faible </w:t>
      </w:r>
      <w:r w:rsidRPr="001B58B3">
        <w:t>application</w:t>
      </w:r>
      <w:r>
        <w:t xml:space="preserve"> des textes et de la faible qualité des diagnostics. </w:t>
      </w:r>
      <w:r w:rsidRPr="004B2A6C">
        <w:t xml:space="preserve">La planification n’a pas été capable d’aller de pair avec la décentralisation et elle est restée à l’échelle nationale. C’est seulement autour de 2010 qu’on </w:t>
      </w:r>
      <w:r w:rsidR="00B218A7">
        <w:t xml:space="preserve">a </w:t>
      </w:r>
      <w:r w:rsidRPr="004B2A6C">
        <w:t>commenc</w:t>
      </w:r>
      <w:r w:rsidR="00B218A7">
        <w:t>é</w:t>
      </w:r>
      <w:r w:rsidRPr="004B2A6C">
        <w:t xml:space="preserve"> à combler cet écart à l’échelle régionale grâce à la diffusion de la cartographie du risque hydraulique </w:t>
      </w:r>
      <w:r>
        <w:t xml:space="preserve">alors que le </w:t>
      </w:r>
      <w:r w:rsidRPr="00DE1652">
        <w:t xml:space="preserve">taux d’urbanisation a connu une progression significative en passant successivement de 5% en 1960, 12% en 1977 (RGPH 77), 15% en 1988 (RGPH88) et 16% en </w:t>
      </w:r>
      <w:r w:rsidRPr="00DE1652">
        <w:lastRenderedPageBreak/>
        <w:t>2001 (RGPH 2001). Ainsi de 1960 à 2001, le taux a été multiplié par un peu plus de trois. En 2017, il s’est établi à 16,3% selon l’INS</w:t>
      </w:r>
      <w:r w:rsidRPr="00DE1652">
        <w:rPr>
          <w:rStyle w:val="Appelnotedebasdep"/>
          <w:rFonts w:ascii="Arial" w:hAnsi="Arial" w:cs="Arial"/>
          <w:sz w:val="24"/>
        </w:rPr>
        <w:footnoteReference w:id="77"/>
      </w:r>
      <w:r w:rsidRPr="00DE1652">
        <w:t>.</w:t>
      </w:r>
      <w:r w:rsidRPr="00CF3DE3">
        <w:t xml:space="preserve"> </w:t>
      </w:r>
    </w:p>
    <w:p w14:paraId="03A0E6E6" w14:textId="77777777" w:rsidR="0028280C" w:rsidRPr="00CB0DB9" w:rsidRDefault="0028280C" w:rsidP="0028280C">
      <w:pPr>
        <w:pStyle w:val="Titre3"/>
        <w:numPr>
          <w:ilvl w:val="0"/>
          <w:numId w:val="14"/>
        </w:numPr>
      </w:pPr>
      <w:bookmarkStart w:id="222" w:name="_Toc86687737"/>
      <w:bookmarkStart w:id="223" w:name="_Toc89479419"/>
      <w:bookmarkStart w:id="224" w:name="_Toc89480917"/>
      <w:bookmarkStart w:id="225" w:name="_Toc94480159"/>
      <w:bookmarkStart w:id="226" w:name="_Toc94481820"/>
      <w:bookmarkStart w:id="227" w:name="_Toc94482083"/>
      <w:r w:rsidRPr="00654F4F">
        <w:rPr>
          <w:rFonts w:ascii="Times New Roman" w:hAnsi="Times New Roman" w:cs="Times New Roman"/>
          <w:b/>
          <w:i/>
          <w:color w:val="000000" w:themeColor="text1"/>
        </w:rPr>
        <w:t>Faible capacité d’adaptation aux Changements Climatiques (CC)</w:t>
      </w:r>
      <w:bookmarkEnd w:id="222"/>
      <w:bookmarkEnd w:id="223"/>
      <w:bookmarkEnd w:id="224"/>
      <w:bookmarkEnd w:id="225"/>
      <w:bookmarkEnd w:id="226"/>
      <w:bookmarkEnd w:id="227"/>
    </w:p>
    <w:p w14:paraId="4EC6ACBE" w14:textId="3D0200B9" w:rsidR="0028280C" w:rsidRDefault="0028280C" w:rsidP="0028280C">
      <w:pPr>
        <w:pStyle w:val="Corpsdetexte"/>
      </w:pPr>
      <w:r w:rsidRPr="00CF3DE3">
        <w:t xml:space="preserve">Les populations </w:t>
      </w:r>
      <w:r>
        <w:t xml:space="preserve">sont </w:t>
      </w:r>
      <w:r w:rsidRPr="00CF3DE3">
        <w:t>affectées par les changements climatiques</w:t>
      </w:r>
      <w:r>
        <w:t xml:space="preserve"> du fait de (i) l’insuffisance</w:t>
      </w:r>
      <w:r w:rsidRPr="00967480">
        <w:t xml:space="preserve"> des ressources (techniques et financières)</w:t>
      </w:r>
      <w:r>
        <w:t>, (ii) la faiblesse</w:t>
      </w:r>
      <w:r w:rsidRPr="00967480">
        <w:t xml:space="preserve"> d’accès au service climatique</w:t>
      </w:r>
      <w:r>
        <w:t>, (iii) le faible a</w:t>
      </w:r>
      <w:r w:rsidRPr="00967480">
        <w:t>ccès aux intrants améliorés</w:t>
      </w:r>
      <w:r>
        <w:t>, (iv) la f</w:t>
      </w:r>
      <w:r w:rsidRPr="00967480">
        <w:t xml:space="preserve">aible maitrise </w:t>
      </w:r>
      <w:r w:rsidR="00484B58">
        <w:t xml:space="preserve">de l’eau et </w:t>
      </w:r>
      <w:r w:rsidRPr="00967480">
        <w:t>des techniques culturales adaptées aux</w:t>
      </w:r>
      <w:r>
        <w:t xml:space="preserve"> CC et (v) à la r</w:t>
      </w:r>
      <w:r w:rsidRPr="00967480">
        <w:t xml:space="preserve">écurrence des effets </w:t>
      </w:r>
      <w:r>
        <w:t xml:space="preserve">du CC. </w:t>
      </w:r>
      <w:r w:rsidRPr="000A2AF9">
        <w:t>Malgré la pluralité et diversité des dispositifs opérationnels de conseil</w:t>
      </w:r>
      <w:r>
        <w:t>s</w:t>
      </w:r>
      <w:r w:rsidRPr="000A2AF9">
        <w:t>, le ratio reste faible</w:t>
      </w:r>
      <w:r>
        <w:t xml:space="preserve"> ; </w:t>
      </w:r>
      <w:r w:rsidRPr="000A2AF9">
        <w:t>à environ 1 conseiller pour 1000 ménages Agricoles (en 2016)</w:t>
      </w:r>
      <w:r>
        <w:t>.</w:t>
      </w:r>
      <w:r w:rsidRPr="000A2AF9">
        <w:t xml:space="preserve"> </w:t>
      </w:r>
      <w:r w:rsidRPr="00CF3DE3">
        <w:t>Au plan technique, les communautés restent attachées aux anciennes pratiques de production. Pour celles ayant pris conscience des méfaits du changement climatique, l’adaptation reste quelque peu diffi</w:t>
      </w:r>
      <w:r>
        <w:t xml:space="preserve">cile du fait que les techniques, les outils </w:t>
      </w:r>
      <w:r w:rsidRPr="00CF3DE3">
        <w:t>et</w:t>
      </w:r>
      <w:r>
        <w:t xml:space="preserve"> les</w:t>
      </w:r>
      <w:r w:rsidRPr="00CF3DE3">
        <w:t xml:space="preserve"> ressources nécessaires </w:t>
      </w:r>
      <w:r>
        <w:t>sont limitées</w:t>
      </w:r>
      <w:r w:rsidRPr="00CF3DE3">
        <w:t>.</w:t>
      </w:r>
      <w:r>
        <w:t xml:space="preserve"> Par ailleurs l’accès aux services climatiques reste limité ; l’information est diffusée </w:t>
      </w:r>
      <w:r w:rsidRPr="00CF3DE3">
        <w:t xml:space="preserve">principalement en français. </w:t>
      </w:r>
      <w:r>
        <w:t xml:space="preserve">De plus, </w:t>
      </w:r>
      <w:r w:rsidRPr="008E750D">
        <w:t>la disponibilité et l’accessibilité aux intrants constitue</w:t>
      </w:r>
      <w:r>
        <w:t>nt</w:t>
      </w:r>
      <w:r w:rsidRPr="008E750D">
        <w:t xml:space="preserve"> toujours une préoccupation pour les populations. Malgré les </w:t>
      </w:r>
      <w:r>
        <w:t>efforts de</w:t>
      </w:r>
      <w:r w:rsidRPr="008E750D">
        <w:t xml:space="preserve"> </w:t>
      </w:r>
      <w:r>
        <w:t xml:space="preserve">l’Etat et ses partenaires </w:t>
      </w:r>
      <w:r w:rsidRPr="008E750D">
        <w:t>pour améliorer l’approvisionnement en intrants et en équipement, des efforts restent encore à fournir</w:t>
      </w:r>
      <w:r>
        <w:t xml:space="preserve"> notamment pour les femmes</w:t>
      </w:r>
      <w:r w:rsidRPr="008E750D">
        <w:t>.</w:t>
      </w:r>
      <w:r>
        <w:t xml:space="preserve"> </w:t>
      </w:r>
      <w:r w:rsidRPr="00CF3DE3">
        <w:t>Une étude de la Banque Mondiale en 2015</w:t>
      </w:r>
      <w:r w:rsidRPr="00CF3DE3">
        <w:rPr>
          <w:vertAlign w:val="superscript"/>
        </w:rPr>
        <w:footnoteReference w:id="78"/>
      </w:r>
      <w:r w:rsidRPr="00CF3DE3">
        <w:t xml:space="preserve"> indique que la productivité des femmes est de 19% inférieure à celle des hommes du fait des inégalités d’accès aux intrants, à la terre et autres facteurs de production.</w:t>
      </w:r>
      <w:r>
        <w:t xml:space="preserve"> </w:t>
      </w:r>
      <w:r w:rsidRPr="00CF3DE3">
        <w:t xml:space="preserve">La faible maitrise des techniques culturales dans un contexte de changement climatique se remarque auprès des populations par un faible niveau de </w:t>
      </w:r>
      <w:r>
        <w:t>connaissance des techniques de productions durables. De plus le Niger se caractérise par une récurrence de sècheresses (1973-1974, 1983-1984, 2000-2001, 2004-2005, 2009-2010, 2011-2012, 2014-2015, 2018-2019) et inondations (2019-2020), épidémies (2001, 2002, 2003, 2015, 2018).</w:t>
      </w:r>
    </w:p>
    <w:p w14:paraId="36DDCECA" w14:textId="77777777" w:rsidR="0028280C" w:rsidRPr="00654F4F" w:rsidRDefault="0028280C" w:rsidP="0028280C">
      <w:pPr>
        <w:pStyle w:val="Titre3"/>
        <w:numPr>
          <w:ilvl w:val="0"/>
          <w:numId w:val="14"/>
        </w:numPr>
        <w:rPr>
          <w:rFonts w:ascii="Times New Roman" w:hAnsi="Times New Roman" w:cs="Times New Roman"/>
          <w:b/>
          <w:i/>
          <w:color w:val="000000" w:themeColor="text1"/>
        </w:rPr>
      </w:pPr>
      <w:bookmarkStart w:id="228" w:name="_Toc86687738"/>
      <w:bookmarkStart w:id="229" w:name="_Toc89479420"/>
      <w:bookmarkStart w:id="230" w:name="_Toc89480918"/>
      <w:bookmarkStart w:id="231" w:name="_Toc94480160"/>
      <w:bookmarkStart w:id="232" w:name="_Toc94481821"/>
      <w:bookmarkStart w:id="233" w:name="_Toc94482084"/>
      <w:r w:rsidRPr="00654F4F">
        <w:rPr>
          <w:rFonts w:ascii="Times New Roman" w:hAnsi="Times New Roman" w:cs="Times New Roman"/>
          <w:b/>
          <w:i/>
          <w:color w:val="000000" w:themeColor="text1"/>
        </w:rPr>
        <w:t>Diminution et dégradation des terres arables</w:t>
      </w:r>
      <w:bookmarkEnd w:id="228"/>
      <w:bookmarkEnd w:id="229"/>
      <w:bookmarkEnd w:id="230"/>
      <w:bookmarkEnd w:id="231"/>
      <w:bookmarkEnd w:id="232"/>
      <w:bookmarkEnd w:id="233"/>
    </w:p>
    <w:p w14:paraId="7652E615" w14:textId="14397BCB" w:rsidR="0028280C" w:rsidRDefault="0028280C" w:rsidP="0028280C">
      <w:pPr>
        <w:pStyle w:val="Corpsdetexte"/>
      </w:pPr>
      <w:r w:rsidRPr="00B4079D">
        <w:t xml:space="preserve">Plusieurs causes sous-jacentes sont à la base de la diminution et de la dégradation des terres arables. </w:t>
      </w:r>
      <w:r>
        <w:t xml:space="preserve">Il s’agit de : </w:t>
      </w:r>
      <w:r w:rsidRPr="00B4079D">
        <w:t xml:space="preserve">(i) </w:t>
      </w:r>
      <w:r>
        <w:t xml:space="preserve">la </w:t>
      </w:r>
      <w:r w:rsidRPr="00B4079D">
        <w:t xml:space="preserve">forte croissance démographique, (ii) </w:t>
      </w:r>
      <w:r>
        <w:t>l’</w:t>
      </w:r>
      <w:r w:rsidRPr="00B4079D">
        <w:t>urbanisation</w:t>
      </w:r>
      <w:r>
        <w:t xml:space="preserve"> croissante</w:t>
      </w:r>
      <w:r w:rsidRPr="00B4079D">
        <w:t xml:space="preserve">, (iii) </w:t>
      </w:r>
      <w:r>
        <w:t xml:space="preserve">la forte </w:t>
      </w:r>
      <w:r w:rsidRPr="00B4079D">
        <w:t xml:space="preserve">pression foncière, (iv), </w:t>
      </w:r>
      <w:r>
        <w:t>l’</w:t>
      </w:r>
      <w:r w:rsidRPr="00B4079D">
        <w:t xml:space="preserve">érosion, (v) </w:t>
      </w:r>
      <w:r>
        <w:t xml:space="preserve">les </w:t>
      </w:r>
      <w:r w:rsidRPr="00B4079D">
        <w:t>mauvaise</w:t>
      </w:r>
      <w:r>
        <w:t>s</w:t>
      </w:r>
      <w:r w:rsidRPr="00B4079D">
        <w:t xml:space="preserve"> pratiques agricoles, (vi) </w:t>
      </w:r>
      <w:r>
        <w:t xml:space="preserve">la </w:t>
      </w:r>
      <w:r w:rsidRPr="00B4079D">
        <w:t xml:space="preserve">diminution des </w:t>
      </w:r>
      <w:r>
        <w:t>ressources naturelles</w:t>
      </w:r>
      <w:r w:rsidR="00CF520C">
        <w:t xml:space="preserve"> (déforestation, sécheresse,..)</w:t>
      </w:r>
      <w:r>
        <w:t xml:space="preserve">. </w:t>
      </w:r>
      <w:r w:rsidRPr="00B4079D">
        <w:t xml:space="preserve">Le taux de fécondité du Niger </w:t>
      </w:r>
      <w:r>
        <w:t xml:space="preserve">est </w:t>
      </w:r>
      <w:r w:rsidRPr="00DB201C">
        <w:t>de 7,5 enfants par femme et le taux de croissance démographique annuelle de l’ordre de 3,9 % en 2014 (INS 2014).</w:t>
      </w:r>
      <w:r w:rsidRPr="00B4079D">
        <w:t xml:space="preserve"> La population, à 85% rurale, se concentre dans la partie sud du pays, là où les contraintes climatiques sont relativement peu sévères. 75% de la population totale vit sur à peine le quart du territoire. La densité moyenne est de 13,5 habitants au kilomètre carré.</w:t>
      </w:r>
      <w:r>
        <w:t xml:space="preserve"> La croissance démographique couplée à la</w:t>
      </w:r>
      <w:r w:rsidRPr="006C46EF">
        <w:t xml:space="preserve"> </w:t>
      </w:r>
      <w:r w:rsidRPr="00B4079D">
        <w:t>pression foncière</w:t>
      </w:r>
      <w:r>
        <w:t>, à l’érosion</w:t>
      </w:r>
      <w:r>
        <w:rPr>
          <w:bCs/>
        </w:rPr>
        <w:t>, à l’</w:t>
      </w:r>
      <w:r w:rsidRPr="00B4079D">
        <w:rPr>
          <w:bCs/>
        </w:rPr>
        <w:t>ensablement</w:t>
      </w:r>
      <w:r>
        <w:rPr>
          <w:bCs/>
        </w:rPr>
        <w:t xml:space="preserve">, à </w:t>
      </w:r>
      <w:r w:rsidRPr="00B4079D">
        <w:rPr>
          <w:bCs/>
        </w:rPr>
        <w:t>la déforestation</w:t>
      </w:r>
      <w:r>
        <w:rPr>
          <w:bCs/>
        </w:rPr>
        <w:t xml:space="preserve"> et</w:t>
      </w:r>
      <w:r w:rsidRPr="00B4079D">
        <w:rPr>
          <w:bCs/>
        </w:rPr>
        <w:t xml:space="preserve"> </w:t>
      </w:r>
      <w:r>
        <w:rPr>
          <w:bCs/>
        </w:rPr>
        <w:t xml:space="preserve">aux </w:t>
      </w:r>
      <w:r w:rsidRPr="00B4079D">
        <w:rPr>
          <w:bCs/>
        </w:rPr>
        <w:t>feux de brousse</w:t>
      </w:r>
      <w:r>
        <w:t xml:space="preserve"> engendrent l’amenuisement des terres arables et leur appauvrissement </w:t>
      </w:r>
      <w:r w:rsidRPr="00B4079D">
        <w:t>(</w:t>
      </w:r>
      <w:r w:rsidRPr="00B4079D">
        <w:rPr>
          <w:bCs/>
        </w:rPr>
        <w:t>6,5 tonnes/ha/an, variant d’une (1) tonne au Nord à plus de 10 tonnes au Sud</w:t>
      </w:r>
      <w:r w:rsidRPr="00B4079D">
        <w:rPr>
          <w:rStyle w:val="Appelnotedebasdep"/>
          <w:rFonts w:ascii="Arial" w:hAnsi="Arial" w:cs="Arial"/>
          <w:sz w:val="24"/>
        </w:rPr>
        <w:footnoteReference w:id="79"/>
      </w:r>
      <w:r w:rsidRPr="00B4079D">
        <w:rPr>
          <w:bCs/>
        </w:rPr>
        <w:t>)</w:t>
      </w:r>
      <w:r>
        <w:rPr>
          <w:bCs/>
        </w:rPr>
        <w:t xml:space="preserve">. </w:t>
      </w:r>
      <w:r w:rsidRPr="00DB201C">
        <w:t>Au total</w:t>
      </w:r>
      <w:r>
        <w:t>,</w:t>
      </w:r>
      <w:r w:rsidRPr="00DB201C">
        <w:t xml:space="preserve"> seulement 11% des terres sont aptes à l’agriculture mais de plus en plus soumise</w:t>
      </w:r>
      <w:r>
        <w:t>s</w:t>
      </w:r>
      <w:r w:rsidRPr="00DB201C">
        <w:t xml:space="preserve"> à divers processus érosifs</w:t>
      </w:r>
      <w:r w:rsidRPr="00DB201C">
        <w:rPr>
          <w:bCs/>
        </w:rPr>
        <w:t>.</w:t>
      </w:r>
      <w:r>
        <w:rPr>
          <w:bCs/>
        </w:rPr>
        <w:t xml:space="preserve"> Aussi, </w:t>
      </w:r>
      <w:r w:rsidRPr="00B4079D">
        <w:t>les espaces réservés jadis à la production pastorale dans la zone agricole (aires et enclaves pastorales</w:t>
      </w:r>
      <w:r>
        <w:t xml:space="preserve">, </w:t>
      </w:r>
      <w:r w:rsidRPr="00B4079D">
        <w:t xml:space="preserve">couloirs de passage, points d’eau pastoraux) sont </w:t>
      </w:r>
      <w:r>
        <w:t>transformés en espaces agricoles</w:t>
      </w:r>
      <w:r w:rsidRPr="00B4079D">
        <w:t xml:space="preserve">, </w:t>
      </w:r>
      <w:r>
        <w:t>réduisant la bande pastorale</w:t>
      </w:r>
      <w:r w:rsidRPr="00AB4BEC">
        <w:t xml:space="preserve"> </w:t>
      </w:r>
      <w:r w:rsidRPr="00B4079D">
        <w:t>au détriment des éleveurs et de leur bétail.</w:t>
      </w:r>
      <w:r>
        <w:t xml:space="preserve"> </w:t>
      </w:r>
      <w:r w:rsidRPr="00B4079D">
        <w:t>La</w:t>
      </w:r>
      <w:r>
        <w:t xml:space="preserve"> </w:t>
      </w:r>
      <w:r w:rsidRPr="00B4079D">
        <w:t xml:space="preserve">dégradation de l’environnement s’est accélérée </w:t>
      </w:r>
      <w:r>
        <w:t>avec</w:t>
      </w:r>
      <w:r w:rsidRPr="00FA1A1A">
        <w:t xml:space="preserve"> </w:t>
      </w:r>
      <w:r>
        <w:t xml:space="preserve">une </w:t>
      </w:r>
      <w:r w:rsidRPr="00B4079D">
        <w:t>perte annuelle</w:t>
      </w:r>
      <w:r>
        <w:t xml:space="preserve"> estimée à 100.000 ha de terres. En fin</w:t>
      </w:r>
      <w:r w:rsidRPr="00B4079D">
        <w:t xml:space="preserve">, les pratiques culturales paysannes sont caractérisées par </w:t>
      </w:r>
      <w:r>
        <w:t xml:space="preserve">un faible niveau de </w:t>
      </w:r>
      <w:r w:rsidRPr="00B4079D">
        <w:t xml:space="preserve">fertilisation, </w:t>
      </w:r>
      <w:r>
        <w:t xml:space="preserve">une </w:t>
      </w:r>
      <w:r w:rsidRPr="00B4079D">
        <w:t>réduction des jachères</w:t>
      </w:r>
      <w:r>
        <w:t xml:space="preserve">, une </w:t>
      </w:r>
      <w:r w:rsidRPr="00B4079D">
        <w:t xml:space="preserve">extension des terres de culture par le défrichage de terres marginales favorisent le développement de l’érosion hydrique et éolienne et ne permettent plus d’assurer la restauration de la fertilité des sols. </w:t>
      </w:r>
      <w:r>
        <w:t xml:space="preserve"> </w:t>
      </w:r>
    </w:p>
    <w:p w14:paraId="6551B780" w14:textId="77777777" w:rsidR="0028280C" w:rsidRPr="00654F4F" w:rsidRDefault="0028280C" w:rsidP="0028280C">
      <w:pPr>
        <w:pStyle w:val="Titre3"/>
        <w:numPr>
          <w:ilvl w:val="0"/>
          <w:numId w:val="14"/>
        </w:numPr>
        <w:rPr>
          <w:rFonts w:ascii="Times New Roman" w:hAnsi="Times New Roman" w:cs="Times New Roman"/>
          <w:b/>
          <w:i/>
          <w:color w:val="000000" w:themeColor="text1"/>
        </w:rPr>
      </w:pPr>
      <w:bookmarkStart w:id="234" w:name="_Toc86687739"/>
      <w:bookmarkStart w:id="235" w:name="_Toc89479421"/>
      <w:bookmarkStart w:id="236" w:name="_Toc89480919"/>
      <w:bookmarkStart w:id="237" w:name="_Toc94480161"/>
      <w:bookmarkStart w:id="238" w:name="_Toc94481822"/>
      <w:bookmarkStart w:id="239" w:name="_Toc94482085"/>
      <w:r w:rsidRPr="00654F4F">
        <w:rPr>
          <w:rFonts w:ascii="Times New Roman" w:hAnsi="Times New Roman" w:cs="Times New Roman"/>
          <w:b/>
          <w:i/>
          <w:color w:val="000000" w:themeColor="text1"/>
        </w:rPr>
        <w:t>Insuffisance des réseaux d’ouvrages et de leur entretien</w:t>
      </w:r>
      <w:bookmarkEnd w:id="234"/>
      <w:bookmarkEnd w:id="235"/>
      <w:bookmarkEnd w:id="236"/>
      <w:bookmarkEnd w:id="237"/>
      <w:bookmarkEnd w:id="238"/>
      <w:bookmarkEnd w:id="239"/>
    </w:p>
    <w:p w14:paraId="0AF99DB8" w14:textId="77777777" w:rsidR="0028280C" w:rsidRDefault="0028280C" w:rsidP="0028280C">
      <w:pPr>
        <w:pStyle w:val="Corpsdetexte"/>
      </w:pPr>
      <w:r>
        <w:t>L’i</w:t>
      </w:r>
      <w:r w:rsidRPr="00F96EC7">
        <w:t>nsuffisance des ouvrages CES/DRS</w:t>
      </w:r>
      <w:r>
        <w:t xml:space="preserve">, d’Agriculture Intelligente face au Climat (AIC) et la </w:t>
      </w:r>
      <w:r w:rsidRPr="00F96EC7">
        <w:t>mauvaise gestion des réseaux d’assainissement</w:t>
      </w:r>
      <w:r>
        <w:t>, l’</w:t>
      </w:r>
      <w:r w:rsidRPr="00F96EC7">
        <w:t>incivisme</w:t>
      </w:r>
      <w:r>
        <w:t xml:space="preserve"> et la f</w:t>
      </w:r>
      <w:r w:rsidRPr="00F96EC7">
        <w:t>orte urbanisation</w:t>
      </w:r>
      <w:r>
        <w:t xml:space="preserve"> impactent négativement la résilience des populations face aux chocs climatiques. </w:t>
      </w:r>
      <w:r w:rsidRPr="00101196">
        <w:t xml:space="preserve">Dans le cadre de la gestion durable des terres et des eaux, il a été enregistré sur la période 2017-2020 des résultats qui restent en deçà des prévisions : 154 309 ha de terres dégradées traités (taux de réalisation de 56,1%) ; 21 614 ha de dunes traités (14,8%) ; 81 233 ha de plantation en bloc (67,7%) ; 385 499 ha de RNA réalisé (137,7%) ; 35 421 ha de plantes </w:t>
      </w:r>
      <w:r w:rsidRPr="00101196">
        <w:lastRenderedPageBreak/>
        <w:t>envahissantes terrestres traités (24,8%) et 75 131 ml de Bandes pare-feu réalisées (47%).</w:t>
      </w:r>
      <w:r w:rsidRPr="00101196">
        <w:rPr>
          <w:rStyle w:val="Appelnotedebasdep"/>
          <w:rFonts w:ascii="Arial" w:hAnsi="Arial" w:cs="Arial"/>
          <w:sz w:val="24"/>
        </w:rPr>
        <w:footnoteReference w:id="80"/>
      </w:r>
      <w:r w:rsidRPr="00101196">
        <w:t xml:space="preserve"> La</w:t>
      </w:r>
      <w:r>
        <w:t xml:space="preserve"> </w:t>
      </w:r>
      <w:r w:rsidRPr="00101196">
        <w:t>situation de l’assainissement est peu reluisante. En effet, selon le rapport de l’enquête de base réalisée en 2020 par l’INS, seulement 7.1% de la population nigérienne a accès à un assainissement basique (3.7% en milieu rural et 26% en milieu urbain)</w:t>
      </w:r>
      <w:r w:rsidRPr="00101196">
        <w:rPr>
          <w:vertAlign w:val="superscript"/>
        </w:rPr>
        <w:footnoteReference w:id="81"/>
      </w:r>
      <w:r w:rsidRPr="00101196">
        <w:t xml:space="preserve">. </w:t>
      </w:r>
    </w:p>
    <w:p w14:paraId="252444C2" w14:textId="77777777" w:rsidR="0028280C" w:rsidRPr="008177F8" w:rsidRDefault="0028280C" w:rsidP="0028280C">
      <w:pPr>
        <w:pStyle w:val="Corpsdetexte"/>
      </w:pPr>
      <w:r w:rsidRPr="008177F8">
        <w:t>Préoccupées par la situation alarmante des catastrophes qui maintiennent les groupes les plus vulnérables dans la précarité et qui font basculer d’autres dans la pauvreté, le Gouvernement a pris une batterie d’initiatives importantes sur le plan politique et stratégique, social et économique, ayant permis de mettre en place des mécanismes de prévention et de gestion des risques et catastrophes, conformément aux quatre (4) priorités du Cadre d’Action de Sendai</w:t>
      </w:r>
      <w:r w:rsidRPr="008177F8">
        <w:rPr>
          <w:rStyle w:val="Appelnotedebasdep"/>
          <w:rFonts w:ascii="Arial" w:hAnsi="Arial" w:cs="Arial"/>
          <w:szCs w:val="24"/>
        </w:rPr>
        <w:footnoteReference w:id="82"/>
      </w:r>
      <w:r w:rsidRPr="008177F8">
        <w:t xml:space="preserve">. </w:t>
      </w:r>
    </w:p>
    <w:p w14:paraId="7B6E80B1" w14:textId="77777777" w:rsidR="0028280C" w:rsidRDefault="0028280C" w:rsidP="0028280C">
      <w:pPr>
        <w:pStyle w:val="Corpsdetexte"/>
      </w:pPr>
      <w:r w:rsidRPr="008177F8">
        <w:t>Ainsi, plusieurs politiques, stratégies nationales et sectorielles ainsi que des programmes et des plans de développement sont développés. Il s’agit de, entre autres, la Stratégie Nationale de Réduction des Risques et Catastrophes (SNRRC), la Stratégie de Développement Durable et de Croissance Inclusive (SDCCI), la stratégie nationale de relèvement durable (SNRD), la Stratégie de Développement Durable et de Croissance Inclusive (SDDCI-NIGER 2035), la Politique Nationale sur les Changements Climatiques (PNCC), la Politique Nationale de l’Environnement et du Développement Durable (PNEDD); la Politique Nationale de l’Action Humanitaire et de Gestion des Catastrophes (PNAH/GC), les Plans Cadre des Nations Unies d’Assistance au Développement (UNDAF), lois et règlements (la Loi n°2018-74, la Loi cadre N° 98- 56) mais également le cadre national sur les services climatologiques (CNSC) et la mutuelle panafricaine des risques (ARC).</w:t>
      </w:r>
    </w:p>
    <w:p w14:paraId="594C0BAC" w14:textId="77777777" w:rsidR="0028280C" w:rsidRDefault="0028280C" w:rsidP="0028280C">
      <w:pPr>
        <w:pStyle w:val="Corpsdetexte"/>
      </w:pPr>
    </w:p>
    <w:p w14:paraId="5568AB9C" w14:textId="77777777" w:rsidR="0028280C" w:rsidRPr="00E25B1F" w:rsidRDefault="0028280C" w:rsidP="00E25B1F">
      <w:pPr>
        <w:pStyle w:val="Titre3"/>
        <w:rPr>
          <w:rFonts w:ascii="Bernard MT Condensed" w:hAnsi="Bernard MT Condensed"/>
        </w:rPr>
      </w:pPr>
      <w:bookmarkStart w:id="240" w:name="_Toc86687740"/>
      <w:bookmarkStart w:id="241" w:name="_Toc89479422"/>
      <w:bookmarkStart w:id="242" w:name="_Toc89480920"/>
      <w:bookmarkStart w:id="243" w:name="_Toc94480162"/>
      <w:bookmarkStart w:id="244" w:name="_Toc94481823"/>
      <w:bookmarkStart w:id="245" w:name="_Toc94482086"/>
      <w:r w:rsidRPr="00E25B1F">
        <w:rPr>
          <w:rFonts w:ascii="Bernard MT Condensed" w:hAnsi="Bernard MT Condensed"/>
        </w:rPr>
        <w:t>I.6.3 - GESTION DES RESSOURCES NATURELLES INCLUANT L’ENERGIE</w:t>
      </w:r>
      <w:bookmarkEnd w:id="240"/>
      <w:bookmarkEnd w:id="241"/>
      <w:bookmarkEnd w:id="242"/>
      <w:bookmarkEnd w:id="243"/>
      <w:bookmarkEnd w:id="244"/>
      <w:bookmarkEnd w:id="245"/>
    </w:p>
    <w:p w14:paraId="2B8C6F9E" w14:textId="77777777" w:rsidR="0028280C" w:rsidRPr="008177F8" w:rsidRDefault="0028280C" w:rsidP="0028280C">
      <w:pPr>
        <w:pStyle w:val="Corpsdetexte"/>
      </w:pPr>
      <w:r>
        <w:t xml:space="preserve">Au Niger, </w:t>
      </w:r>
      <w:r w:rsidRPr="008177F8">
        <w:t>la préservation des écosystèmes terrestres fait face aux aléas climatiques, les pandémies notamment la COVID-19, les épizooties de tout genre, le fort taux d’analphabétisme surtout en milieu rural, la faible application des textes de lois qui sanctionnent la surexploitation des ressources naturelles et enfin l’insécurité qui sévit surtout au niveau de la zone des trois frontières et dans la région du bassin du lac Tchad.</w:t>
      </w:r>
    </w:p>
    <w:p w14:paraId="45A2C21C" w14:textId="77777777" w:rsidR="0028280C" w:rsidRDefault="0028280C" w:rsidP="0028280C">
      <w:pPr>
        <w:pStyle w:val="Corpsdetexte"/>
      </w:pPr>
      <w:r>
        <w:t>Pour faire face à cette situation, t</w:t>
      </w:r>
      <w:r w:rsidRPr="008177F8">
        <w:t>outes les stratégies et politiques existantes constituent des opportunités à savoir : SDDCI, PNDD, CSGDT, SPN2A, PNEDD, la Stratégie et Plan d’action de l’initiative grande muraille verte, l’initiative AFR100. Il faut également relever le rôle important du secteur privé pour l’offre électrique (centrales hydrauliques, centrales solaires, centrales thermiques à charbon), la mise en œuvre du plan directeur d’accès à l’électricité, le Code des réseaux, le Code de l’électricité, la SNAE; l’Initiative Light Africa, le SE4ALL, la SDDCI. À cela s’ajoute, l’adoption par décret N°2014-726/PRN/MESU/DD du 26 novembre 2014 du Cadre Stratégique d’Investissement en matière de Gestion Durable des Terres dont l’objectif est de prioriser, planifier et orienter la mise en œuvre des investissements en matière de Gestion Durable des Terres, la confirmation des volontés politiques dans le plan de développement économique et social (PDES 2017-2021) qui ambitionne le développement du tourisme de l’hôtellerie et de l’écotourisme, ainsi qu’une volonté de créer les conditions pour l’avènement d’un tourisme plus productif porteur de croissance à travers le programme de renaissance acte II (2016).</w:t>
      </w:r>
    </w:p>
    <w:p w14:paraId="0FFD917A" w14:textId="77777777" w:rsidR="0028280C" w:rsidRDefault="0028280C" w:rsidP="0028280C">
      <w:pPr>
        <w:pStyle w:val="Corpsdetexte"/>
      </w:pPr>
    </w:p>
    <w:p w14:paraId="0DC2BEFA" w14:textId="378038E2" w:rsidR="0028280C" w:rsidRPr="00654F4F" w:rsidRDefault="0028280C" w:rsidP="0028280C">
      <w:pPr>
        <w:pStyle w:val="Corpsdetexte"/>
        <w:pBdr>
          <w:top w:val="single" w:sz="4" w:space="1" w:color="auto"/>
          <w:left w:val="single" w:sz="4" w:space="4" w:color="auto"/>
          <w:bottom w:val="single" w:sz="4" w:space="1" w:color="auto"/>
          <w:right w:val="single" w:sz="4" w:space="4" w:color="auto"/>
        </w:pBdr>
        <w:shd w:val="clear" w:color="auto" w:fill="92D050"/>
        <w:rPr>
          <w:i/>
        </w:rPr>
      </w:pPr>
      <w:r>
        <w:t xml:space="preserve">Dans le domaine de la gestion des ressources naturelles incluant l’énergie, l’analyse causale a identifié le problème central suivant : </w:t>
      </w:r>
      <w:r w:rsidRPr="00654F4F">
        <w:rPr>
          <w:b/>
          <w:i/>
          <w:sz w:val="24"/>
          <w:szCs w:val="24"/>
        </w:rPr>
        <w:t>La modification des équilibres écologiques et la dégradation accrue des écosystèmes</w:t>
      </w:r>
      <w:r w:rsidRPr="004B7BFF">
        <w:t xml:space="preserve"> </w:t>
      </w:r>
      <w:r>
        <w:t>qui est imputable aux principales causes suivantes</w:t>
      </w:r>
      <w:r w:rsidRPr="004B7BFF">
        <w:t xml:space="preserve"> : </w:t>
      </w:r>
      <w:r w:rsidRPr="00654F4F">
        <w:rPr>
          <w:i/>
        </w:rPr>
        <w:t>(i) la surexploitation des ressources naturelles ; (ii) la mauvaise utilisation des intrants chimiques</w:t>
      </w:r>
      <w:r w:rsidR="00264890" w:rsidRPr="00264890">
        <w:rPr>
          <w:i/>
        </w:rPr>
        <w:t xml:space="preserve"> </w:t>
      </w:r>
      <w:r w:rsidR="00264890">
        <w:rPr>
          <w:i/>
        </w:rPr>
        <w:t xml:space="preserve">souvent de mauvaise qualité </w:t>
      </w:r>
      <w:r w:rsidRPr="00654F4F">
        <w:rPr>
          <w:i/>
        </w:rPr>
        <w:t xml:space="preserve">; (iii) la récurrence des chocs climatiques (inondation, vent violent, haute températures, </w:t>
      </w:r>
      <w:r w:rsidR="00264890">
        <w:rPr>
          <w:i/>
        </w:rPr>
        <w:t xml:space="preserve">déforestation et </w:t>
      </w:r>
      <w:r w:rsidRPr="00654F4F">
        <w:rPr>
          <w:i/>
        </w:rPr>
        <w:lastRenderedPageBreak/>
        <w:t xml:space="preserve">sécheresses) ; (iv) le faible taux d’utilisation des énergies de substitution et (v) la récurrence des feux de brousse. </w:t>
      </w:r>
    </w:p>
    <w:p w14:paraId="03254581" w14:textId="77777777" w:rsidR="0028280C" w:rsidRDefault="0028280C" w:rsidP="0028280C">
      <w:pPr>
        <w:pStyle w:val="Corpsdetexte"/>
      </w:pPr>
    </w:p>
    <w:p w14:paraId="47E820AF" w14:textId="77777777" w:rsidR="0028280C" w:rsidRPr="00654F4F" w:rsidRDefault="0028280C" w:rsidP="0028280C">
      <w:pPr>
        <w:pStyle w:val="Titre3"/>
        <w:numPr>
          <w:ilvl w:val="0"/>
          <w:numId w:val="14"/>
        </w:numPr>
        <w:rPr>
          <w:rFonts w:ascii="Times New Roman" w:hAnsi="Times New Roman" w:cs="Times New Roman"/>
          <w:b/>
          <w:i/>
          <w:color w:val="000000" w:themeColor="text1"/>
        </w:rPr>
      </w:pPr>
      <w:bookmarkStart w:id="246" w:name="_Toc86687741"/>
      <w:bookmarkStart w:id="247" w:name="_Toc89479423"/>
      <w:bookmarkStart w:id="248" w:name="_Toc89480921"/>
      <w:bookmarkStart w:id="249" w:name="_Toc94480163"/>
      <w:bookmarkStart w:id="250" w:name="_Toc94481824"/>
      <w:bookmarkStart w:id="251" w:name="_Toc94482087"/>
      <w:r w:rsidRPr="00654F4F">
        <w:rPr>
          <w:rFonts w:ascii="Times New Roman" w:hAnsi="Times New Roman" w:cs="Times New Roman"/>
          <w:b/>
          <w:i/>
          <w:color w:val="000000" w:themeColor="text1"/>
        </w:rPr>
        <w:t>Surexploitation des Ressources Naturelles (RN)</w:t>
      </w:r>
      <w:bookmarkEnd w:id="246"/>
      <w:bookmarkEnd w:id="247"/>
      <w:bookmarkEnd w:id="248"/>
      <w:bookmarkEnd w:id="249"/>
      <w:bookmarkEnd w:id="250"/>
      <w:bookmarkEnd w:id="251"/>
    </w:p>
    <w:p w14:paraId="2F3AA39B" w14:textId="77777777" w:rsidR="0028280C" w:rsidRPr="00945032" w:rsidRDefault="0028280C" w:rsidP="0028280C">
      <w:pPr>
        <w:pStyle w:val="Corpsdetexte"/>
      </w:pPr>
      <w:r w:rsidRPr="00945032">
        <w:t xml:space="preserve">La surexploitation </w:t>
      </w:r>
      <w:r>
        <w:t>des ressources naturelles est principalement dus à : (i) une f</w:t>
      </w:r>
      <w:r w:rsidRPr="001F3968">
        <w:t>orte pression démographique</w:t>
      </w:r>
      <w:r>
        <w:t>, (ii) un f</w:t>
      </w:r>
      <w:r w:rsidRPr="001F3968">
        <w:t xml:space="preserve">aible </w:t>
      </w:r>
      <w:r>
        <w:t xml:space="preserve">niveau de </w:t>
      </w:r>
      <w:r w:rsidRPr="001F3968">
        <w:t>production agricole</w:t>
      </w:r>
      <w:r>
        <w:t>, (iii) un f</w:t>
      </w:r>
      <w:r w:rsidRPr="001F3968">
        <w:t>aible revenu</w:t>
      </w:r>
      <w:r>
        <w:t>, (iv) un f</w:t>
      </w:r>
      <w:r w:rsidRPr="001F3968">
        <w:t>aible taux de superficie forestière sous aménagement</w:t>
      </w:r>
      <w:r>
        <w:t>, et (v) un f</w:t>
      </w:r>
      <w:r w:rsidRPr="001F3968">
        <w:t>aible niveau d’éducation d’environnementale et de sensibilisation</w:t>
      </w:r>
      <w:r>
        <w:t xml:space="preserve">. Les </w:t>
      </w:r>
      <w:r w:rsidRPr="00945032">
        <w:t xml:space="preserve">facteurs tels que </w:t>
      </w:r>
      <w:r>
        <w:t xml:space="preserve">la sècheresse, la </w:t>
      </w:r>
      <w:r w:rsidRPr="00945032">
        <w:t>for</w:t>
      </w:r>
      <w:r>
        <w:t>te croissance démographique (3,9</w:t>
      </w:r>
      <w:r w:rsidRPr="00945032">
        <w:t>%) largement supérieure à la croissance agricole (estimée à 2,5%)</w:t>
      </w:r>
      <w:r>
        <w:t xml:space="preserve">, le surpâturage </w:t>
      </w:r>
      <w:r w:rsidRPr="00945032">
        <w:t>conduis</w:t>
      </w:r>
      <w:r>
        <w:t xml:space="preserve">ent </w:t>
      </w:r>
      <w:r w:rsidRPr="00945032">
        <w:t xml:space="preserve">à une pression de plus en plus forte sur les </w:t>
      </w:r>
      <w:r>
        <w:t>r</w:t>
      </w:r>
      <w:r w:rsidRPr="00945032">
        <w:t xml:space="preserve">essources </w:t>
      </w:r>
      <w:r>
        <w:t>n</w:t>
      </w:r>
      <w:r w:rsidRPr="00945032">
        <w:t>aturelles</w:t>
      </w:r>
      <w:r>
        <w:t xml:space="preserve">. </w:t>
      </w:r>
      <w:r w:rsidRPr="00945032">
        <w:t>La déforestation et la désertification progressent, atteign</w:t>
      </w:r>
      <w:r>
        <w:t xml:space="preserve">ant 75% du territoire national. </w:t>
      </w:r>
      <w:r w:rsidRPr="00945032">
        <w:t>En outre, le surpâturage, l’exploitation incontrôlée des forêts pour la satisfaction des besoins en bois énergie et de service, les mauvaises pratiques de prélèvement des produits forestiers et les feux de brousse contribuent à la régression du couvert végétal</w:t>
      </w:r>
      <w:r>
        <w:t xml:space="preserve"> (les</w:t>
      </w:r>
      <w:r w:rsidRPr="00945032">
        <w:t xml:space="preserve"> formations forestières naturelles sont passées de 16 millions d'h</w:t>
      </w:r>
      <w:r>
        <w:t xml:space="preserve">a </w:t>
      </w:r>
      <w:r w:rsidRPr="00945032">
        <w:t>environ en 1982 à 5 millions d'h</w:t>
      </w:r>
      <w:r>
        <w:t xml:space="preserve">a </w:t>
      </w:r>
      <w:r w:rsidRPr="00945032">
        <w:t>environ en 2006</w:t>
      </w:r>
      <w:r>
        <w:t>)</w:t>
      </w:r>
      <w:r w:rsidRPr="00945032">
        <w:t>. La proportion de la superficie forestière dotée d’un plan de gestion forestière à l</w:t>
      </w:r>
      <w:r>
        <w:t>ong terme est de 19,27% en 2019)</w:t>
      </w:r>
      <w:r w:rsidRPr="00945032">
        <w:t>. Au plan socioéconomique, le</w:t>
      </w:r>
      <w:r>
        <w:t xml:space="preserve"> faible revenu des populations </w:t>
      </w:r>
      <w:r w:rsidRPr="00945032">
        <w:t>constitue un autre facteur déterminant de surexploitation des RN. A tout cela</w:t>
      </w:r>
      <w:r>
        <w:t>,</w:t>
      </w:r>
      <w:r w:rsidRPr="00945032">
        <w:t xml:space="preserve"> il faut ajouter le faible niveau d’éducation environnementale et de sensibilisation des populations.</w:t>
      </w:r>
      <w:r>
        <w:t xml:space="preserve"> </w:t>
      </w:r>
    </w:p>
    <w:p w14:paraId="77A34D78" w14:textId="77777777" w:rsidR="0028280C" w:rsidRPr="00654F4F" w:rsidRDefault="0028280C" w:rsidP="0028280C">
      <w:pPr>
        <w:pStyle w:val="Titre3"/>
        <w:numPr>
          <w:ilvl w:val="0"/>
          <w:numId w:val="14"/>
        </w:numPr>
        <w:rPr>
          <w:rFonts w:ascii="Times New Roman" w:hAnsi="Times New Roman" w:cs="Times New Roman"/>
          <w:b/>
          <w:i/>
        </w:rPr>
      </w:pPr>
      <w:bookmarkStart w:id="252" w:name="_Toc86687742"/>
      <w:bookmarkStart w:id="253" w:name="_Toc89479424"/>
      <w:bookmarkStart w:id="254" w:name="_Toc89480922"/>
      <w:bookmarkStart w:id="255" w:name="_Toc94480164"/>
      <w:bookmarkStart w:id="256" w:name="_Toc94481825"/>
      <w:bookmarkStart w:id="257" w:name="_Toc94482088"/>
      <w:r w:rsidRPr="00654F4F">
        <w:rPr>
          <w:rFonts w:ascii="Times New Roman" w:hAnsi="Times New Roman" w:cs="Times New Roman"/>
          <w:b/>
          <w:i/>
          <w:color w:val="000000" w:themeColor="text1"/>
        </w:rPr>
        <w:t>Mauvaise utilisation des intrants chimiques</w:t>
      </w:r>
      <w:bookmarkEnd w:id="252"/>
      <w:bookmarkEnd w:id="253"/>
      <w:bookmarkEnd w:id="254"/>
      <w:bookmarkEnd w:id="255"/>
      <w:bookmarkEnd w:id="256"/>
      <w:bookmarkEnd w:id="257"/>
    </w:p>
    <w:p w14:paraId="4EDFDE78" w14:textId="77777777" w:rsidR="0028280C" w:rsidRPr="008E47E8" w:rsidRDefault="0028280C" w:rsidP="0028280C">
      <w:pPr>
        <w:pStyle w:val="Corpsdetexte"/>
      </w:pPr>
      <w:r w:rsidRPr="008E47E8">
        <w:t>L</w:t>
      </w:r>
      <w:r>
        <w:t>a faiblesse des productions,</w:t>
      </w:r>
      <w:r w:rsidRPr="00360179">
        <w:t xml:space="preserve"> </w:t>
      </w:r>
      <w:r w:rsidRPr="008E47E8">
        <w:t>la pauvreté des sols</w:t>
      </w:r>
      <w:r>
        <w:t xml:space="preserve"> entrainent une utilisation croissante des intrants chimiques </w:t>
      </w:r>
      <w:r w:rsidRPr="008E47E8">
        <w:t>(engrais, pesticides, herbicides)</w:t>
      </w:r>
      <w:r>
        <w:t xml:space="preserve">. </w:t>
      </w:r>
      <w:r w:rsidRPr="008E47E8">
        <w:t>La</w:t>
      </w:r>
      <w:r>
        <w:t xml:space="preserve"> mauvaise utilisation des intrants chimiques est aussi due à la </w:t>
      </w:r>
      <w:r w:rsidRPr="008E47E8">
        <w:t>faible disponibilité des intrants organiques, la pression des ennemis des cultures et le faible niveau de sensibilisation et de formation des agriculteurs</w:t>
      </w:r>
      <w:r>
        <w:t xml:space="preserve"> sur la préparation et l’utilisation des biofertilisants et bio pesticides, ainsi que et l’impact des produits chimiques. </w:t>
      </w:r>
    </w:p>
    <w:p w14:paraId="7D666E64" w14:textId="77777777" w:rsidR="0028280C" w:rsidRPr="00654F4F" w:rsidRDefault="0028280C" w:rsidP="0028280C">
      <w:pPr>
        <w:pStyle w:val="Titre3"/>
        <w:numPr>
          <w:ilvl w:val="0"/>
          <w:numId w:val="14"/>
        </w:numPr>
        <w:rPr>
          <w:rFonts w:ascii="Times New Roman" w:hAnsi="Times New Roman" w:cs="Times New Roman"/>
          <w:b/>
          <w:i/>
          <w:color w:val="000000" w:themeColor="text1"/>
        </w:rPr>
      </w:pPr>
      <w:bookmarkStart w:id="258" w:name="_Toc86687743"/>
      <w:bookmarkStart w:id="259" w:name="_Toc89479425"/>
      <w:bookmarkStart w:id="260" w:name="_Toc89480923"/>
      <w:bookmarkStart w:id="261" w:name="_Toc94480165"/>
      <w:bookmarkStart w:id="262" w:name="_Toc94481826"/>
      <w:bookmarkStart w:id="263" w:name="_Toc94482089"/>
      <w:r w:rsidRPr="00654F4F">
        <w:rPr>
          <w:rFonts w:ascii="Times New Roman" w:hAnsi="Times New Roman" w:cs="Times New Roman"/>
          <w:b/>
          <w:i/>
          <w:color w:val="000000" w:themeColor="text1"/>
        </w:rPr>
        <w:t>Récurrence des chocs climatiques (inondation, vent violent, haute températures, sécheresses)</w:t>
      </w:r>
      <w:bookmarkEnd w:id="258"/>
      <w:bookmarkEnd w:id="259"/>
      <w:bookmarkEnd w:id="260"/>
      <w:bookmarkEnd w:id="261"/>
      <w:bookmarkEnd w:id="262"/>
      <w:bookmarkEnd w:id="263"/>
      <w:r w:rsidRPr="00654F4F">
        <w:rPr>
          <w:rFonts w:ascii="Times New Roman" w:hAnsi="Times New Roman" w:cs="Times New Roman"/>
          <w:b/>
          <w:i/>
          <w:color w:val="000000" w:themeColor="text1"/>
        </w:rPr>
        <w:t xml:space="preserve"> </w:t>
      </w:r>
    </w:p>
    <w:p w14:paraId="5DA5F97F" w14:textId="77777777" w:rsidR="0028280C" w:rsidRDefault="0028280C" w:rsidP="0028280C">
      <w:pPr>
        <w:pStyle w:val="Corpsdetexte"/>
      </w:pPr>
      <w:r w:rsidRPr="00560164">
        <w:t xml:space="preserve">Depuis plus de deux décennies, le Niger fait face à la manifestation de plus en plus récurrente des risques et catastrophes de diverses natures (sécheresses, inondations, épidémies, épizooties, incendies, feux de brousse, invasion acridienne), </w:t>
      </w:r>
      <w:r>
        <w:t>causés principalement par : (i)</w:t>
      </w:r>
      <w:r w:rsidRPr="006960C9">
        <w:t xml:space="preserve"> </w:t>
      </w:r>
      <w:r>
        <w:t>la p</w:t>
      </w:r>
      <w:r w:rsidRPr="001F3968">
        <w:t>ollution</w:t>
      </w:r>
      <w:r>
        <w:t xml:space="preserve">, (ii) la </w:t>
      </w:r>
      <w:r w:rsidRPr="001F3968">
        <w:t>déforestation</w:t>
      </w:r>
      <w:r>
        <w:t xml:space="preserve"> et (iii) l’u</w:t>
      </w:r>
      <w:r w:rsidRPr="001F3968">
        <w:t>tilisation abusive des énergies fossiles</w:t>
      </w:r>
      <w:r>
        <w:t>. En tant que pays sahélien le Niger subit les effets dévastateurs des changements climatiques dont les causes s’observent au niveau global avec des moyens de contrôle assez limités. En 2014 le niveau d’émission en gaz à effet de serre est de 28 777, 299 GgCO</w:t>
      </w:r>
      <w:r w:rsidRPr="00A27B62">
        <w:rPr>
          <w:vertAlign w:val="subscript"/>
        </w:rPr>
        <w:t>2</w:t>
      </w:r>
      <w:r>
        <w:t>eq), ce qui représente 1,61 tonne de CO</w:t>
      </w:r>
      <w:r w:rsidRPr="00C37F15">
        <w:rPr>
          <w:vertAlign w:val="subscript"/>
        </w:rPr>
        <w:t>2</w:t>
      </w:r>
      <w:r>
        <w:t xml:space="preserve"> par habitant et 0,0001% des émissions mondiales de CO</w:t>
      </w:r>
      <w:r w:rsidRPr="00A27B62">
        <w:rPr>
          <w:vertAlign w:val="subscript"/>
        </w:rPr>
        <w:t>2</w:t>
      </w:r>
      <w:r>
        <w:t xml:space="preserve"> (CDN 2015). Cette situation rend le Niger particulièrement vulnérable à la récurrence des chocs climatiques où </w:t>
      </w:r>
      <w:r w:rsidRPr="00C34996">
        <w:t xml:space="preserve">près de 5 millions de personnes sont exposées au risque d’une sécheresse légère, 6,35 millions à une sécheresse moyenne et environ 7,9 millions à une sécheresse sévère (SE/CNEDD, 2019). </w:t>
      </w:r>
      <w:r>
        <w:t xml:space="preserve"> </w:t>
      </w:r>
    </w:p>
    <w:p w14:paraId="4361710D" w14:textId="77777777" w:rsidR="0028280C" w:rsidRPr="00654F4F" w:rsidRDefault="0028280C" w:rsidP="0028280C">
      <w:pPr>
        <w:pStyle w:val="Titre3"/>
        <w:numPr>
          <w:ilvl w:val="0"/>
          <w:numId w:val="14"/>
        </w:numPr>
        <w:rPr>
          <w:rFonts w:ascii="Times New Roman" w:hAnsi="Times New Roman" w:cs="Times New Roman"/>
          <w:b/>
          <w:i/>
          <w:color w:val="000000" w:themeColor="text1"/>
        </w:rPr>
      </w:pPr>
      <w:bookmarkStart w:id="264" w:name="_Toc86687744"/>
      <w:bookmarkStart w:id="265" w:name="_Toc89479426"/>
      <w:bookmarkStart w:id="266" w:name="_Toc89480924"/>
      <w:bookmarkStart w:id="267" w:name="_Toc94480166"/>
      <w:bookmarkStart w:id="268" w:name="_Toc94481827"/>
      <w:bookmarkStart w:id="269" w:name="_Toc94482090"/>
      <w:r w:rsidRPr="00654F4F">
        <w:rPr>
          <w:rFonts w:ascii="Times New Roman" w:hAnsi="Times New Roman" w:cs="Times New Roman"/>
          <w:b/>
          <w:i/>
          <w:color w:val="000000" w:themeColor="text1"/>
        </w:rPr>
        <w:t>Faible taux d’utilisation des énergies de substitution</w:t>
      </w:r>
      <w:bookmarkEnd w:id="264"/>
      <w:bookmarkEnd w:id="265"/>
      <w:bookmarkEnd w:id="266"/>
      <w:bookmarkEnd w:id="267"/>
      <w:bookmarkEnd w:id="268"/>
      <w:bookmarkEnd w:id="269"/>
      <w:r w:rsidRPr="00654F4F">
        <w:rPr>
          <w:rFonts w:ascii="Times New Roman" w:hAnsi="Times New Roman" w:cs="Times New Roman"/>
          <w:b/>
          <w:i/>
          <w:color w:val="000000" w:themeColor="text1"/>
        </w:rPr>
        <w:t xml:space="preserve"> </w:t>
      </w:r>
    </w:p>
    <w:p w14:paraId="0C3AD97E" w14:textId="77777777" w:rsidR="0028280C" w:rsidRDefault="0028280C" w:rsidP="0028280C">
      <w:pPr>
        <w:pStyle w:val="Corpsdetexte"/>
      </w:pPr>
      <w:r>
        <w:t>Les principales causes de la faible utilisation des énergies de substitution sont : (i) le c</w:t>
      </w:r>
      <w:r w:rsidRPr="001F3968">
        <w:t>oût d’investissement élevé</w:t>
      </w:r>
      <w:r>
        <w:t>, (ii) les b</w:t>
      </w:r>
      <w:r w:rsidRPr="001F3968">
        <w:t>arrière</w:t>
      </w:r>
      <w:r>
        <w:t>s</w:t>
      </w:r>
      <w:r w:rsidRPr="001F3968">
        <w:t xml:space="preserve"> culturel</w:t>
      </w:r>
      <w:r>
        <w:t>les, (iii) la f</w:t>
      </w:r>
      <w:r w:rsidRPr="001F3968">
        <w:t>aible disponibilité des énergies de substitution</w:t>
      </w:r>
      <w:r>
        <w:t>, (iv) la f</w:t>
      </w:r>
      <w:r w:rsidRPr="001F3968">
        <w:t>aible vulgarisation des technologies de substitution</w:t>
      </w:r>
      <w:r>
        <w:t>, (v) l’i</w:t>
      </w:r>
      <w:r w:rsidRPr="001F3968">
        <w:t>nsuffisance des subventions et mesures incitatives</w:t>
      </w:r>
      <w:r>
        <w:t xml:space="preserve"> et (vi) le f</w:t>
      </w:r>
      <w:r w:rsidRPr="001F3968">
        <w:t xml:space="preserve">aible partenariat </w:t>
      </w:r>
      <w:r>
        <w:t xml:space="preserve">public-privé. </w:t>
      </w:r>
      <w:r w:rsidRPr="00BB68DC">
        <w:t>Le niveau d’utilisation des énergies renouvelables, solaire, éolienne et hydroélectrique est insignifiant et ne représente que 0,01% du mix</w:t>
      </w:r>
      <w:r>
        <w:t>-</w:t>
      </w:r>
      <w:r w:rsidRPr="00BB68DC">
        <w:t>énergétique national. La biomasse, notamment le bois et le charbon de bois, représente 94% de la consommation en énergie domestique. Malgré ce rôle prépondérant, la gestion de cette ressource en est encore à ses débuts et la surexploitation entraîne une réduction des surfaces forestières de près de 365 000 ha/an.</w:t>
      </w:r>
      <w:r>
        <w:t xml:space="preserve"> </w:t>
      </w:r>
    </w:p>
    <w:p w14:paraId="48B65B1D" w14:textId="77777777" w:rsidR="0028280C" w:rsidRPr="00654F4F" w:rsidRDefault="0028280C" w:rsidP="0028280C">
      <w:pPr>
        <w:pStyle w:val="Titre3"/>
        <w:numPr>
          <w:ilvl w:val="0"/>
          <w:numId w:val="14"/>
        </w:numPr>
        <w:rPr>
          <w:rFonts w:ascii="Times New Roman" w:hAnsi="Times New Roman" w:cs="Times New Roman"/>
          <w:b/>
          <w:i/>
        </w:rPr>
      </w:pPr>
      <w:bookmarkStart w:id="270" w:name="_Toc86687745"/>
      <w:bookmarkStart w:id="271" w:name="_Toc89479427"/>
      <w:bookmarkStart w:id="272" w:name="_Toc89480925"/>
      <w:bookmarkStart w:id="273" w:name="_Toc94480167"/>
      <w:bookmarkStart w:id="274" w:name="_Toc94481828"/>
      <w:bookmarkStart w:id="275" w:name="_Toc94482091"/>
      <w:r w:rsidRPr="00654F4F">
        <w:rPr>
          <w:rFonts w:ascii="Times New Roman" w:hAnsi="Times New Roman" w:cs="Times New Roman"/>
          <w:b/>
          <w:i/>
          <w:color w:val="000000" w:themeColor="text1"/>
        </w:rPr>
        <w:t>Récurrence des feux de brousse</w:t>
      </w:r>
      <w:bookmarkEnd w:id="270"/>
      <w:bookmarkEnd w:id="271"/>
      <w:bookmarkEnd w:id="272"/>
      <w:bookmarkEnd w:id="273"/>
      <w:bookmarkEnd w:id="274"/>
      <w:bookmarkEnd w:id="275"/>
      <w:r w:rsidRPr="00654F4F">
        <w:rPr>
          <w:rFonts w:ascii="Times New Roman" w:hAnsi="Times New Roman" w:cs="Times New Roman"/>
          <w:b/>
          <w:i/>
          <w:color w:val="000000" w:themeColor="text1"/>
        </w:rPr>
        <w:t xml:space="preserve"> </w:t>
      </w:r>
    </w:p>
    <w:p w14:paraId="16D2450C" w14:textId="77777777" w:rsidR="0028280C" w:rsidRPr="008177F8" w:rsidRDefault="0028280C" w:rsidP="0028280C">
      <w:pPr>
        <w:pStyle w:val="Corpsdetexte"/>
      </w:pPr>
      <w:r w:rsidRPr="00B31062">
        <w:t xml:space="preserve">La récurrence des feux de brousse constitue un des facteurs de dégradation les plus nocifs des terres, des forêts avec eux de la biodiversité et occasionne parfois des pertes en vies humaines et en cheptel. Elle est liée à de facteurs tels que : </w:t>
      </w:r>
      <w:r>
        <w:t xml:space="preserve">(i) </w:t>
      </w:r>
      <w:r w:rsidRPr="00B31062">
        <w:t xml:space="preserve">l’insuffisance de sensibilisation, </w:t>
      </w:r>
      <w:r>
        <w:t xml:space="preserve">(ii) </w:t>
      </w:r>
      <w:r w:rsidRPr="00B31062">
        <w:t xml:space="preserve">le faible niveau d’aménagement et </w:t>
      </w:r>
      <w:r>
        <w:t xml:space="preserve">(iii) </w:t>
      </w:r>
      <w:r w:rsidRPr="00B31062">
        <w:t xml:space="preserve">l’insuffisance de réponse immédiate. Ces feux de brousse sont généralement </w:t>
      </w:r>
      <w:r>
        <w:t xml:space="preserve">dus à l’action de l’homme et </w:t>
      </w:r>
      <w:r>
        <w:lastRenderedPageBreak/>
        <w:t>aux phénomènes naturels</w:t>
      </w:r>
      <w:r w:rsidRPr="00B31062">
        <w:t>. De 2015 à 2020, 597 cas  de feux de brousse ont été enregistrés sur l’ensemble  du territoire national, consumant 346 527 Ha de pâturage  occasionnant  de ce fait, un manque à gagner dans le bilan  fourrager</w:t>
      </w:r>
      <w:r w:rsidRPr="00B31062">
        <w:rPr>
          <w:rStyle w:val="Appelnotedebasdep"/>
        </w:rPr>
        <w:footnoteReference w:id="83"/>
      </w:r>
      <w:r w:rsidRPr="00B31062">
        <w:t>. Toutes les zones où les productions fourragères sont ≥ 800 KgMS/ha avec une couverture au sol satisfaisante sont considérées comme d</w:t>
      </w:r>
      <w:r>
        <w:t>es zones extrêmement sensibles.</w:t>
      </w:r>
    </w:p>
    <w:p w14:paraId="1BAFAB36" w14:textId="77777777" w:rsidR="0028280C" w:rsidRPr="00E25B1F" w:rsidRDefault="0028280C" w:rsidP="00E25B1F">
      <w:pPr>
        <w:pStyle w:val="Titre3"/>
        <w:rPr>
          <w:rFonts w:ascii="Bernard MT Condensed" w:hAnsi="Bernard MT Condensed"/>
        </w:rPr>
      </w:pPr>
      <w:bookmarkStart w:id="276" w:name="_Toc86687746"/>
      <w:bookmarkStart w:id="277" w:name="_Toc89479428"/>
      <w:bookmarkStart w:id="278" w:name="_Toc89480926"/>
      <w:bookmarkStart w:id="279" w:name="_Toc94480168"/>
      <w:bookmarkStart w:id="280" w:name="_Toc94481829"/>
      <w:bookmarkStart w:id="281" w:name="_Toc94482092"/>
      <w:r w:rsidRPr="00E25B1F">
        <w:rPr>
          <w:rFonts w:ascii="Bernard MT Condensed" w:hAnsi="Bernard MT Condensed"/>
        </w:rPr>
        <w:t>I.6.3 - CADRE DE VIE</w:t>
      </w:r>
      <w:bookmarkEnd w:id="276"/>
      <w:bookmarkEnd w:id="277"/>
      <w:bookmarkEnd w:id="278"/>
      <w:bookmarkEnd w:id="279"/>
      <w:bookmarkEnd w:id="280"/>
      <w:bookmarkEnd w:id="281"/>
    </w:p>
    <w:p w14:paraId="3D4805E4" w14:textId="77777777" w:rsidR="0028280C" w:rsidRDefault="0028280C" w:rsidP="0028280C">
      <w:pPr>
        <w:pStyle w:val="Titre2"/>
        <w:jc w:val="both"/>
        <w:rPr>
          <w:rFonts w:ascii="Times New Roman" w:hAnsi="Times New Roman" w:cs="Times New Roman"/>
          <w:color w:val="000000" w:themeColor="text1"/>
          <w:sz w:val="22"/>
          <w:szCs w:val="22"/>
        </w:rPr>
      </w:pPr>
      <w:bookmarkStart w:id="282" w:name="_Toc86687747"/>
      <w:bookmarkStart w:id="283" w:name="_Toc89479429"/>
      <w:bookmarkStart w:id="284" w:name="_Toc89480927"/>
      <w:bookmarkStart w:id="285" w:name="_Toc94480169"/>
      <w:bookmarkStart w:id="286" w:name="_Toc94481830"/>
      <w:bookmarkStart w:id="287" w:name="_Toc94482093"/>
      <w:r w:rsidRPr="00654F4F">
        <w:rPr>
          <w:rFonts w:ascii="Times New Roman" w:hAnsi="Times New Roman" w:cs="Times New Roman"/>
          <w:color w:val="000000" w:themeColor="text1"/>
          <w:sz w:val="22"/>
          <w:szCs w:val="22"/>
        </w:rPr>
        <w:t>Le Niger a</w:t>
      </w:r>
      <w:r>
        <w:rPr>
          <w:rFonts w:ascii="Times New Roman" w:hAnsi="Times New Roman" w:cs="Times New Roman"/>
          <w:color w:val="000000" w:themeColor="text1"/>
          <w:sz w:val="22"/>
          <w:szCs w:val="22"/>
        </w:rPr>
        <w:t xml:space="preserve"> consenti des efforts considérables pour améliorer le cadre de vie </w:t>
      </w:r>
      <w:r w:rsidRPr="00654F4F">
        <w:rPr>
          <w:rFonts w:ascii="Times New Roman" w:hAnsi="Times New Roman" w:cs="Times New Roman"/>
          <w:color w:val="000000" w:themeColor="text1"/>
          <w:sz w:val="22"/>
          <w:szCs w:val="22"/>
        </w:rPr>
        <w:t xml:space="preserve"> </w:t>
      </w:r>
      <w:r>
        <w:rPr>
          <w:rFonts w:ascii="Times New Roman" w:hAnsi="Times New Roman" w:cs="Times New Roman"/>
          <w:color w:val="000000" w:themeColor="text1"/>
          <w:sz w:val="22"/>
          <w:szCs w:val="22"/>
        </w:rPr>
        <w:t>à Niamey et dans les régions grâce à la construction de logements décents, la collecte des déchets ménagers dans les villes. Cependant, une proportion importante de la population particulièrement de la population rurale vit dans des logements précaires. Dans la plupart des municipalités, l’élimination des déchets demeure un défi puisqu’ils sont déversés dans des décharges publiques. Cette mauvaise gestion des déchets est une menace pour la santé des populations.</w:t>
      </w:r>
      <w:bookmarkEnd w:id="282"/>
      <w:bookmarkEnd w:id="283"/>
      <w:bookmarkEnd w:id="284"/>
      <w:bookmarkEnd w:id="285"/>
      <w:bookmarkEnd w:id="286"/>
      <w:bookmarkEnd w:id="287"/>
    </w:p>
    <w:p w14:paraId="10D7C94C" w14:textId="77777777" w:rsidR="0028280C" w:rsidRDefault="0028280C" w:rsidP="0028280C">
      <w:pPr>
        <w:pStyle w:val="Titre3"/>
      </w:pPr>
    </w:p>
    <w:p w14:paraId="41523244" w14:textId="77777777" w:rsidR="0028280C" w:rsidRPr="00B1645C" w:rsidRDefault="0028280C" w:rsidP="0028280C">
      <w:pPr>
        <w:pStyle w:val="Titre3"/>
        <w:numPr>
          <w:ilvl w:val="0"/>
          <w:numId w:val="14"/>
        </w:numPr>
        <w:rPr>
          <w:rFonts w:ascii="Times New Roman" w:hAnsi="Times New Roman" w:cs="Times New Roman"/>
          <w:b/>
          <w:i/>
          <w:color w:val="000000" w:themeColor="text1"/>
        </w:rPr>
      </w:pPr>
      <w:bookmarkStart w:id="288" w:name="_Toc86687748"/>
      <w:bookmarkStart w:id="289" w:name="_Toc89479430"/>
      <w:bookmarkStart w:id="290" w:name="_Toc89480928"/>
      <w:bookmarkStart w:id="291" w:name="_Toc94480170"/>
      <w:bookmarkStart w:id="292" w:name="_Toc94481831"/>
      <w:bookmarkStart w:id="293" w:name="_Toc94482094"/>
      <w:r w:rsidRPr="00B1645C">
        <w:rPr>
          <w:rFonts w:ascii="Times New Roman" w:hAnsi="Times New Roman" w:cs="Times New Roman"/>
          <w:b/>
          <w:i/>
          <w:color w:val="000000" w:themeColor="text1"/>
        </w:rPr>
        <w:t>Insuffisance du contrôle des outils de planification</w:t>
      </w:r>
      <w:bookmarkEnd w:id="288"/>
      <w:bookmarkEnd w:id="289"/>
      <w:bookmarkEnd w:id="290"/>
      <w:bookmarkEnd w:id="291"/>
      <w:bookmarkEnd w:id="292"/>
      <w:bookmarkEnd w:id="293"/>
    </w:p>
    <w:p w14:paraId="609EF012" w14:textId="6BC02E49" w:rsidR="00775C45" w:rsidRDefault="0028280C" w:rsidP="00775C45">
      <w:pPr>
        <w:pStyle w:val="Corpsdetexte"/>
      </w:pPr>
      <w:r w:rsidRPr="00B65A27">
        <w:t xml:space="preserve">L’insuffisance du contrôle des outils de planification a comme principales causes sous-jacentes : </w:t>
      </w:r>
      <w:r>
        <w:t xml:space="preserve">(i) </w:t>
      </w:r>
      <w:r w:rsidRPr="00B65A27">
        <w:t xml:space="preserve">la </w:t>
      </w:r>
      <w:r>
        <w:t>f</w:t>
      </w:r>
      <w:r w:rsidRPr="00B65A27">
        <w:t xml:space="preserve">aible vulgarisation des outils et textes, </w:t>
      </w:r>
      <w:r>
        <w:t xml:space="preserve">(ii) </w:t>
      </w:r>
      <w:r w:rsidRPr="00B65A27">
        <w:t>l</w:t>
      </w:r>
      <w:r>
        <w:t xml:space="preserve">a faible application des textes, (iii) la non </w:t>
      </w:r>
      <w:r w:rsidRPr="005F4DA2">
        <w:t>actualisation des cartes thématiques</w:t>
      </w:r>
      <w:r>
        <w:t>, (iv) la f</w:t>
      </w:r>
      <w:r w:rsidRPr="00752D41">
        <w:t>aible affectation des ressources au secteur de l’urbanisme</w:t>
      </w:r>
      <w:r w:rsidR="00775C45">
        <w:t>, (v) l’insécurité foncière et (vi</w:t>
      </w:r>
      <w:r>
        <w:t>) la c</w:t>
      </w:r>
      <w:r w:rsidRPr="005F4DA2">
        <w:t>roissance démographique rapide</w:t>
      </w:r>
      <w:bookmarkStart w:id="294" w:name="_Toc86687749"/>
      <w:bookmarkStart w:id="295" w:name="_Toc89479431"/>
      <w:bookmarkStart w:id="296" w:name="_Toc89480929"/>
      <w:bookmarkStart w:id="297" w:name="_Toc94480171"/>
      <w:bookmarkStart w:id="298" w:name="_Toc94481832"/>
      <w:bookmarkStart w:id="299" w:name="_Toc94482095"/>
    </w:p>
    <w:p w14:paraId="041BD48D" w14:textId="77777777" w:rsidR="00775C45" w:rsidRDefault="00775C45" w:rsidP="00775C45">
      <w:pPr>
        <w:pStyle w:val="Corpsdetexte"/>
      </w:pPr>
    </w:p>
    <w:p w14:paraId="21DD47C9" w14:textId="4C6CC704" w:rsidR="0028280C" w:rsidRPr="00B1645C" w:rsidRDefault="0028280C" w:rsidP="00775C45">
      <w:pPr>
        <w:pStyle w:val="Corpsdetexte"/>
        <w:rPr>
          <w:b/>
          <w:i/>
          <w:color w:val="000000" w:themeColor="text1"/>
          <w:sz w:val="24"/>
          <w:szCs w:val="24"/>
        </w:rPr>
      </w:pPr>
      <w:r w:rsidRPr="00B1645C">
        <w:rPr>
          <w:b/>
          <w:i/>
          <w:color w:val="000000" w:themeColor="text1"/>
          <w:sz w:val="24"/>
          <w:szCs w:val="24"/>
        </w:rPr>
        <w:t>Insuffisance des infrastructures urbaines</w:t>
      </w:r>
      <w:bookmarkEnd w:id="294"/>
      <w:bookmarkEnd w:id="295"/>
      <w:bookmarkEnd w:id="296"/>
      <w:bookmarkEnd w:id="297"/>
      <w:bookmarkEnd w:id="298"/>
      <w:bookmarkEnd w:id="299"/>
    </w:p>
    <w:p w14:paraId="4117B40D" w14:textId="77777777" w:rsidR="0028280C" w:rsidRDefault="0028280C" w:rsidP="0028280C">
      <w:pPr>
        <w:pStyle w:val="Corpsdetexte"/>
      </w:pPr>
      <w:r w:rsidRPr="00B65A27">
        <w:t xml:space="preserve">L’insuffisance des infrastructures urbaines a pour causes sous-jacentes : </w:t>
      </w:r>
      <w:r>
        <w:t xml:space="preserve">(i) </w:t>
      </w:r>
      <w:r w:rsidRPr="00B65A27">
        <w:t xml:space="preserve">la faible affectation des ressources au secteur de l’urbanisme et </w:t>
      </w:r>
      <w:r>
        <w:t xml:space="preserve">(ii) </w:t>
      </w:r>
      <w:r w:rsidRPr="00B65A27">
        <w:t>la croissance démographique rapide.</w:t>
      </w:r>
    </w:p>
    <w:p w14:paraId="6270BDA5" w14:textId="77777777" w:rsidR="00E25B1F" w:rsidRDefault="00E25B1F" w:rsidP="0028280C">
      <w:pPr>
        <w:pStyle w:val="Corpsdetexte"/>
      </w:pPr>
    </w:p>
    <w:p w14:paraId="18FD84CD" w14:textId="65C87DE9" w:rsidR="00E25B1F" w:rsidRPr="00B1645C" w:rsidRDefault="00E25B1F" w:rsidP="00E25B1F">
      <w:pPr>
        <w:pStyle w:val="Corpsdetexte"/>
        <w:pBdr>
          <w:top w:val="single" w:sz="4" w:space="1" w:color="auto"/>
          <w:left w:val="single" w:sz="4" w:space="4" w:color="auto"/>
          <w:bottom w:val="single" w:sz="4" w:space="1" w:color="auto"/>
          <w:right w:val="single" w:sz="4" w:space="4" w:color="auto"/>
        </w:pBdr>
        <w:shd w:val="clear" w:color="auto" w:fill="92D050"/>
        <w:rPr>
          <w:i/>
        </w:rPr>
      </w:pPr>
      <w:r>
        <w:t xml:space="preserve">S’agissant </w:t>
      </w:r>
      <w:r w:rsidR="00E02FE2">
        <w:t>du</w:t>
      </w:r>
      <w:r>
        <w:t xml:space="preserve"> cadre de vie, l’analyse causale a identifié le </w:t>
      </w:r>
      <w:r w:rsidRPr="00B65A27">
        <w:t xml:space="preserve">problème </w:t>
      </w:r>
      <w:r>
        <w:t>central suivant :</w:t>
      </w:r>
      <w:r w:rsidRPr="00B65A27">
        <w:t xml:space="preserve"> </w:t>
      </w:r>
      <w:bookmarkStart w:id="300" w:name="_GoBack"/>
      <w:r w:rsidRPr="00B1645C">
        <w:rPr>
          <w:b/>
          <w:i/>
          <w:sz w:val="24"/>
          <w:szCs w:val="24"/>
        </w:rPr>
        <w:t>La faible couverture des besoins en matière de logement et d’urbanisme</w:t>
      </w:r>
      <w:bookmarkEnd w:id="300"/>
      <w:r w:rsidRPr="00B1645C">
        <w:rPr>
          <w:b/>
          <w:i/>
          <w:sz w:val="24"/>
          <w:szCs w:val="24"/>
        </w:rPr>
        <w:t xml:space="preserve"> </w:t>
      </w:r>
      <w:r>
        <w:t xml:space="preserve">dont les principales </w:t>
      </w:r>
      <w:r w:rsidRPr="00B65A27">
        <w:t>causes sont</w:t>
      </w:r>
      <w:r>
        <w:t xml:space="preserve"> : </w:t>
      </w:r>
      <w:r w:rsidRPr="00B1645C">
        <w:rPr>
          <w:i/>
        </w:rPr>
        <w:t xml:space="preserve">(i) l’insuffisance du contrôle des outils de planification et (ii) l’insuffisance des infrastructures urbaines. </w:t>
      </w:r>
    </w:p>
    <w:p w14:paraId="1A28597B" w14:textId="77777777" w:rsidR="00E25B1F" w:rsidRPr="00B1645C" w:rsidRDefault="00E25B1F" w:rsidP="0028280C">
      <w:pPr>
        <w:pStyle w:val="Corpsdetexte"/>
      </w:pPr>
    </w:p>
    <w:p w14:paraId="45631BE2" w14:textId="77777777" w:rsidR="0028280C" w:rsidRPr="00E25B1F" w:rsidRDefault="0028280C" w:rsidP="00E25B1F">
      <w:pPr>
        <w:pStyle w:val="Titre1"/>
        <w:rPr>
          <w:rFonts w:ascii="Bernard MT Condensed" w:hAnsi="Bernard MT Condensed"/>
          <w:sz w:val="28"/>
          <w:szCs w:val="28"/>
        </w:rPr>
      </w:pPr>
      <w:bookmarkStart w:id="301" w:name="_Toc84789679"/>
      <w:bookmarkStart w:id="302" w:name="_Toc86687750"/>
      <w:bookmarkStart w:id="303" w:name="_Toc89479432"/>
      <w:bookmarkStart w:id="304" w:name="_Toc89480930"/>
      <w:bookmarkStart w:id="305" w:name="_Toc94480172"/>
      <w:bookmarkStart w:id="306" w:name="_Toc94481833"/>
      <w:bookmarkStart w:id="307" w:name="_Toc94482096"/>
      <w:r w:rsidRPr="00E25B1F">
        <w:rPr>
          <w:rFonts w:ascii="Bernard MT Condensed" w:hAnsi="Bernard MT Condensed"/>
          <w:sz w:val="28"/>
          <w:szCs w:val="28"/>
        </w:rPr>
        <w:t>II - Vision nationale du développement durable</w:t>
      </w:r>
      <w:bookmarkEnd w:id="301"/>
      <w:bookmarkEnd w:id="302"/>
      <w:bookmarkEnd w:id="303"/>
      <w:bookmarkEnd w:id="304"/>
      <w:bookmarkEnd w:id="305"/>
      <w:bookmarkEnd w:id="306"/>
      <w:bookmarkEnd w:id="307"/>
    </w:p>
    <w:p w14:paraId="063179AF" w14:textId="0A576074" w:rsidR="0028280C" w:rsidRPr="009B715E" w:rsidRDefault="0028280C" w:rsidP="0028280C">
      <w:pPr>
        <w:jc w:val="both"/>
        <w:rPr>
          <w:rFonts w:ascii="Times New Roman" w:hAnsi="Times New Roman" w:cs="Times New Roman"/>
          <w:i/>
        </w:rPr>
      </w:pPr>
      <w:r w:rsidRPr="009B715E">
        <w:rPr>
          <w:rFonts w:ascii="Times New Roman" w:hAnsi="Times New Roman" w:cs="Times New Roman"/>
        </w:rPr>
        <w:t>La vision stratégique du Niger est clairement déclinée dans le document de Stratégie de développement durable et de croissance inclusive (SDDCI) 2</w:t>
      </w:r>
      <w:r w:rsidR="00775C45">
        <w:rPr>
          <w:rFonts w:ascii="Times New Roman" w:hAnsi="Times New Roman" w:cs="Times New Roman"/>
        </w:rPr>
        <w:t>035. Précisément,</w:t>
      </w:r>
      <w:r w:rsidRPr="009B715E">
        <w:rPr>
          <w:rFonts w:ascii="Times New Roman" w:hAnsi="Times New Roman" w:cs="Times New Roman"/>
        </w:rPr>
        <w:t xml:space="preserve"> « </w:t>
      </w:r>
      <w:r w:rsidR="00516A4F">
        <w:rPr>
          <w:rFonts w:ascii="Times New Roman" w:hAnsi="Times New Roman" w:cs="Times New Roman"/>
        </w:rPr>
        <w:t xml:space="preserve">à </w:t>
      </w:r>
      <w:r w:rsidRPr="009B715E">
        <w:rPr>
          <w:rFonts w:ascii="Times New Roman" w:hAnsi="Times New Roman" w:cs="Times New Roman"/>
        </w:rPr>
        <w:t>l’horizon 2035, le Niger a l’ambition d’être</w:t>
      </w:r>
      <w:r w:rsidRPr="009B715E">
        <w:rPr>
          <w:rFonts w:ascii="Times New Roman" w:eastAsia="Calibri" w:hAnsi="Times New Roman" w:cs="Times New Roman"/>
          <w:b/>
          <w:i/>
        </w:rPr>
        <w:t xml:space="preserve"> « un pays moderne, paisible, prospère et fier de ses valeurs culturelles dans une Afrique unie et solidaire ».</w:t>
      </w:r>
      <w:r w:rsidRPr="009B715E">
        <w:rPr>
          <w:rFonts w:ascii="Times New Roman" w:hAnsi="Times New Roman" w:cs="Times New Roman"/>
        </w:rPr>
        <w:t xml:space="preserve"> Pour concrétiser cette vision à l’horizon projeté, le Niger vise avant tout </w:t>
      </w:r>
      <w:r>
        <w:rPr>
          <w:rFonts w:ascii="Times New Roman" w:hAnsi="Times New Roman" w:cs="Times New Roman"/>
        </w:rPr>
        <w:t>l’atteinte</w:t>
      </w:r>
      <w:r w:rsidR="00516A4F">
        <w:rPr>
          <w:rFonts w:ascii="Times New Roman" w:hAnsi="Times New Roman" w:cs="Times New Roman"/>
        </w:rPr>
        <w:t xml:space="preserve"> de</w:t>
      </w:r>
      <w:r w:rsidRPr="009B715E">
        <w:rPr>
          <w:rFonts w:ascii="Times New Roman" w:hAnsi="Times New Roman" w:cs="Times New Roman"/>
        </w:rPr>
        <w:t xml:space="preserve"> </w:t>
      </w:r>
      <w:r w:rsidR="00516A4F">
        <w:rPr>
          <w:rFonts w:ascii="Times New Roman" w:hAnsi="Times New Roman" w:cs="Times New Roman"/>
        </w:rPr>
        <w:t>l’</w:t>
      </w:r>
      <w:r w:rsidRPr="009B715E">
        <w:rPr>
          <w:rFonts w:ascii="Times New Roman" w:hAnsi="Times New Roman" w:cs="Times New Roman"/>
        </w:rPr>
        <w:t xml:space="preserve">objectif de développement </w:t>
      </w:r>
      <w:r w:rsidR="00516A4F">
        <w:rPr>
          <w:rFonts w:ascii="Times New Roman" w:hAnsi="Times New Roman" w:cs="Times New Roman"/>
        </w:rPr>
        <w:t>suivant</w:t>
      </w:r>
      <w:r w:rsidRPr="009B715E">
        <w:rPr>
          <w:rFonts w:ascii="Times New Roman" w:hAnsi="Times New Roman" w:cs="Times New Roman"/>
        </w:rPr>
        <w:t xml:space="preserve"> « </w:t>
      </w:r>
      <w:r w:rsidRPr="009B715E">
        <w:rPr>
          <w:rFonts w:ascii="Times New Roman" w:hAnsi="Times New Roman" w:cs="Times New Roman"/>
          <w:b/>
          <w:i/>
        </w:rPr>
        <w:t>bâtir un pays moderne, démocratique et uni, bien gouverné et pacifique, ouvert au monde, ainsi qu’une économie émergente, fondée sur un partage équilibré des fruits du progrès</w:t>
      </w:r>
      <w:r w:rsidRPr="009B715E">
        <w:rPr>
          <w:rFonts w:ascii="Times New Roman" w:hAnsi="Times New Roman" w:cs="Times New Roman"/>
        </w:rPr>
        <w:t xml:space="preserve"> »</w:t>
      </w:r>
      <w:r w:rsidR="00516A4F">
        <w:rPr>
          <w:rFonts w:ascii="Times New Roman" w:hAnsi="Times New Roman" w:cs="Times New Roman"/>
        </w:rPr>
        <w:t xml:space="preserve"> dont </w:t>
      </w:r>
      <w:r>
        <w:rPr>
          <w:rFonts w:ascii="Times New Roman" w:hAnsi="Times New Roman" w:cs="Times New Roman"/>
        </w:rPr>
        <w:t xml:space="preserve">la réalisation </w:t>
      </w:r>
      <w:r w:rsidR="00516A4F">
        <w:rPr>
          <w:rFonts w:ascii="Times New Roman" w:hAnsi="Times New Roman" w:cs="Times New Roman"/>
        </w:rPr>
        <w:t xml:space="preserve">découlera de l’atteinte </w:t>
      </w:r>
      <w:r>
        <w:rPr>
          <w:rFonts w:ascii="Times New Roman" w:hAnsi="Times New Roman" w:cs="Times New Roman"/>
        </w:rPr>
        <w:t xml:space="preserve">des objectifs spécifiques ci-après : </w:t>
      </w:r>
      <w:r w:rsidRPr="009B715E">
        <w:rPr>
          <w:rFonts w:ascii="Times New Roman" w:hAnsi="Times New Roman" w:cs="Times New Roman"/>
          <w:i/>
        </w:rPr>
        <w:t>(i) assurer la sécurité des personnes et des biens sur le territoire national et ses frontières ; (ii) développer un secteur privé dynamique créateur et pourvoyeur d’emplois ;(iii) maitriser les leviers de la croissance démographique ; (iv) accroitre durablement la production et la productivité agricoles ; (v) accroitre la performance du capital humain et (vi) assurer aux citoyens des services publics de qualité.</w:t>
      </w:r>
      <w:r>
        <w:rPr>
          <w:rFonts w:ascii="Times New Roman" w:hAnsi="Times New Roman" w:cs="Times New Roman"/>
          <w:i/>
        </w:rPr>
        <w:t xml:space="preserve"> </w:t>
      </w:r>
      <w:r>
        <w:rPr>
          <w:rFonts w:ascii="Times New Roman" w:hAnsi="Times New Roman" w:cs="Times New Roman"/>
        </w:rPr>
        <w:t>En tenant compte de ces objectifs spécifiques, la</w:t>
      </w:r>
      <w:r w:rsidRPr="009B715E">
        <w:rPr>
          <w:rFonts w:ascii="Times New Roman" w:hAnsi="Times New Roman" w:cs="Times New Roman"/>
        </w:rPr>
        <w:t xml:space="preserve"> SDDCI</w:t>
      </w:r>
      <w:r>
        <w:rPr>
          <w:rFonts w:ascii="Times New Roman" w:hAnsi="Times New Roman" w:cs="Times New Roman"/>
        </w:rPr>
        <w:t xml:space="preserve"> s’articule autour de  s</w:t>
      </w:r>
      <w:r w:rsidRPr="009B715E">
        <w:rPr>
          <w:rFonts w:ascii="Times New Roman" w:hAnsi="Times New Roman" w:cs="Times New Roman"/>
        </w:rPr>
        <w:t xml:space="preserve">ix (06) axes stratégiques </w:t>
      </w:r>
      <w:r w:rsidR="00516A4F">
        <w:rPr>
          <w:rFonts w:ascii="Times New Roman" w:hAnsi="Times New Roman" w:cs="Times New Roman"/>
        </w:rPr>
        <w:t xml:space="preserve">suivants : </w:t>
      </w:r>
      <w:r>
        <w:rPr>
          <w:rFonts w:ascii="Times New Roman" w:hAnsi="Times New Roman" w:cs="Times New Roman"/>
        </w:rPr>
        <w:t xml:space="preserve">la sécurité du territoire ; </w:t>
      </w:r>
      <w:r w:rsidRPr="009B715E">
        <w:rPr>
          <w:rFonts w:ascii="Times New Roman" w:hAnsi="Times New Roman" w:cs="Times New Roman"/>
        </w:rPr>
        <w:t xml:space="preserve"> le développeme</w:t>
      </w:r>
      <w:r>
        <w:rPr>
          <w:rFonts w:ascii="Times New Roman" w:hAnsi="Times New Roman" w:cs="Times New Roman"/>
        </w:rPr>
        <w:t xml:space="preserve">nt d’un secteur privé dynamique ; </w:t>
      </w:r>
      <w:r w:rsidRPr="009B715E">
        <w:rPr>
          <w:rFonts w:ascii="Times New Roman" w:hAnsi="Times New Roman" w:cs="Times New Roman"/>
        </w:rPr>
        <w:t xml:space="preserve"> la maîtrise de la fécondi</w:t>
      </w:r>
      <w:r>
        <w:rPr>
          <w:rFonts w:ascii="Times New Roman" w:hAnsi="Times New Roman" w:cs="Times New Roman"/>
        </w:rPr>
        <w:t xml:space="preserve">té et de la mortalité infantile ; </w:t>
      </w:r>
      <w:r w:rsidRPr="009B715E">
        <w:rPr>
          <w:rFonts w:ascii="Times New Roman" w:hAnsi="Times New Roman" w:cs="Times New Roman"/>
        </w:rPr>
        <w:t xml:space="preserve"> la dynamisation et </w:t>
      </w:r>
      <w:r>
        <w:rPr>
          <w:rFonts w:ascii="Times New Roman" w:hAnsi="Times New Roman" w:cs="Times New Roman"/>
        </w:rPr>
        <w:t>la modernisation du monde rural ;</w:t>
      </w:r>
      <w:r w:rsidRPr="009B715E">
        <w:rPr>
          <w:rFonts w:ascii="Times New Roman" w:hAnsi="Times New Roman" w:cs="Times New Roman"/>
        </w:rPr>
        <w:t xml:space="preserve"> le développement du </w:t>
      </w:r>
      <w:r>
        <w:rPr>
          <w:rFonts w:ascii="Times New Roman" w:hAnsi="Times New Roman" w:cs="Times New Roman"/>
        </w:rPr>
        <w:t xml:space="preserve">capital humain ; </w:t>
      </w:r>
      <w:r w:rsidRPr="009B715E">
        <w:rPr>
          <w:rFonts w:ascii="Times New Roman" w:hAnsi="Times New Roman" w:cs="Times New Roman"/>
        </w:rPr>
        <w:t>la transformation de l’administration.</w:t>
      </w:r>
      <w:r>
        <w:rPr>
          <w:rFonts w:ascii="Times New Roman" w:hAnsi="Times New Roman" w:cs="Times New Roman"/>
        </w:rPr>
        <w:t xml:space="preserve"> </w:t>
      </w:r>
    </w:p>
    <w:p w14:paraId="3315D41D" w14:textId="753E2A3E" w:rsidR="0028280C" w:rsidRDefault="0028280C" w:rsidP="0028280C">
      <w:pPr>
        <w:jc w:val="both"/>
        <w:rPr>
          <w:rFonts w:ascii="Times New Roman" w:hAnsi="Times New Roman" w:cs="Times New Roman"/>
        </w:rPr>
      </w:pPr>
      <w:r w:rsidRPr="00A90E83">
        <w:rPr>
          <w:rFonts w:ascii="Times New Roman" w:hAnsi="Times New Roman" w:cs="Times New Roman"/>
        </w:rPr>
        <w:t xml:space="preserve">La SDDCI est opérationnalisée à travers le Plan de développement économique et social (PDES) dont l’horizon est de cinq ans. Au terme </w:t>
      </w:r>
      <w:r w:rsidR="00E943A1">
        <w:rPr>
          <w:rFonts w:ascii="Times New Roman" w:hAnsi="Times New Roman" w:cs="Times New Roman"/>
        </w:rPr>
        <w:t>de chaque quinquennat</w:t>
      </w:r>
      <w:r w:rsidRPr="00A90E83">
        <w:rPr>
          <w:rFonts w:ascii="Times New Roman" w:hAnsi="Times New Roman" w:cs="Times New Roman"/>
        </w:rPr>
        <w:t>, le gouvernement</w:t>
      </w:r>
      <w:r w:rsidR="00E943A1">
        <w:rPr>
          <w:rFonts w:ascii="Times New Roman" w:hAnsi="Times New Roman" w:cs="Times New Roman"/>
        </w:rPr>
        <w:t xml:space="preserve"> élabore un nouveau PDES </w:t>
      </w:r>
      <w:r w:rsidR="00E943A1">
        <w:rPr>
          <w:rFonts w:ascii="Times New Roman" w:hAnsi="Times New Roman" w:cs="Times New Roman"/>
        </w:rPr>
        <w:lastRenderedPageBreak/>
        <w:t>à la suite de l’évaluation finale du PDES précèdent</w:t>
      </w:r>
      <w:r w:rsidRPr="00A90E83">
        <w:rPr>
          <w:rFonts w:ascii="Times New Roman" w:hAnsi="Times New Roman" w:cs="Times New Roman"/>
        </w:rPr>
        <w:t xml:space="preserve">. Le PDES 2017-2021 est le premier plan quinquennal formulé pour la mise en œuvre de la SDDCI 2035. Sa formulation a été guidée par la vision stratégique et les objectifs du SDDCI. Mais, elle a également tenu compte </w:t>
      </w:r>
      <w:r>
        <w:rPr>
          <w:rFonts w:ascii="Times New Roman" w:hAnsi="Times New Roman" w:cs="Times New Roman"/>
        </w:rPr>
        <w:t xml:space="preserve">des orientations du </w:t>
      </w:r>
      <w:r w:rsidRPr="00A90E83">
        <w:rPr>
          <w:rFonts w:ascii="Times New Roman" w:hAnsi="Times New Roman" w:cs="Times New Roman"/>
        </w:rPr>
        <w:t xml:space="preserve">Programme de Renaissance Acte-2 ainsi que des engagements internationaux pris par le pays notamment </w:t>
      </w:r>
      <w:r>
        <w:rPr>
          <w:rFonts w:ascii="Times New Roman" w:hAnsi="Times New Roman" w:cs="Times New Roman"/>
        </w:rPr>
        <w:t>l’</w:t>
      </w:r>
      <w:r w:rsidRPr="00A90E83">
        <w:rPr>
          <w:rFonts w:ascii="Times New Roman" w:hAnsi="Times New Roman" w:cs="Times New Roman"/>
        </w:rPr>
        <w:t xml:space="preserve">Agenda 2030 des Nations Unies, </w:t>
      </w:r>
      <w:r>
        <w:rPr>
          <w:rFonts w:ascii="Times New Roman" w:hAnsi="Times New Roman" w:cs="Times New Roman"/>
        </w:rPr>
        <w:t>l’</w:t>
      </w:r>
      <w:r w:rsidRPr="00A90E83">
        <w:rPr>
          <w:rFonts w:ascii="Times New Roman" w:hAnsi="Times New Roman" w:cs="Times New Roman"/>
        </w:rPr>
        <w:t>A</w:t>
      </w:r>
      <w:r>
        <w:rPr>
          <w:rFonts w:ascii="Times New Roman" w:hAnsi="Times New Roman" w:cs="Times New Roman"/>
        </w:rPr>
        <w:t>genda 2063 de l’Union Africaine et la</w:t>
      </w:r>
      <w:r w:rsidRPr="00A90E83">
        <w:rPr>
          <w:rFonts w:ascii="Times New Roman" w:hAnsi="Times New Roman" w:cs="Times New Roman"/>
        </w:rPr>
        <w:t xml:space="preserve"> vision 2020 de la CEDEAO.</w:t>
      </w:r>
    </w:p>
    <w:p w14:paraId="67773672" w14:textId="77777777" w:rsidR="0028280C" w:rsidRDefault="0028280C" w:rsidP="0028280C">
      <w:pPr>
        <w:jc w:val="both"/>
        <w:rPr>
          <w:rFonts w:ascii="Times New Roman" w:hAnsi="Times New Roman" w:cs="Times New Roman"/>
        </w:rPr>
      </w:pPr>
      <w:r w:rsidRPr="001E102D">
        <w:rPr>
          <w:rFonts w:ascii="Times New Roman" w:hAnsi="Times New Roman" w:cs="Times New Roman"/>
        </w:rPr>
        <w:t>Le PDES 2017-2021 est structuré en cinq axes stratégiques à savoir i) la renaissance culturelle ; ii) le développement social et la transition démographique ; iii) l’accélération de la croissance économique ; iv) l’amélioration de la gouvernance, paix et sécurité et v) la gestion durable de l’environnement. Il s’agit, à travers ces cinq axes, d’apporter des réponses appropriées aux défis majeurs auxquels le Niger fait face et qui entravent son développement économique et social.</w:t>
      </w:r>
    </w:p>
    <w:p w14:paraId="6370B26A" w14:textId="77777777" w:rsidR="0028280C" w:rsidRPr="00A90E83" w:rsidRDefault="0028280C" w:rsidP="0028280C">
      <w:pPr>
        <w:jc w:val="both"/>
        <w:rPr>
          <w:rFonts w:ascii="Times New Roman" w:hAnsi="Times New Roman" w:cs="Times New Roman"/>
        </w:rPr>
      </w:pPr>
      <w:r>
        <w:rPr>
          <w:rFonts w:ascii="Times New Roman" w:hAnsi="Times New Roman" w:cs="Times New Roman"/>
        </w:rPr>
        <w:t xml:space="preserve">Le Niger dispose donc des leviers nécessaires pour le pilotage politique et stratégique du développement. En effet, la SDDCI notamment la vision stratégique est au fondement de la gestion du développement dont le socle est le PDES. Le pays a enregistré des progrès encourageants  en matière de planification, de programmation et de budgétisation grâce à l’adoption de l’approche budget programme. Un dispositif de suivi et évaluation a été mis en place. Mais, </w:t>
      </w:r>
      <w:r w:rsidRPr="00F42428">
        <w:rPr>
          <w:rFonts w:ascii="Times New Roman" w:hAnsi="Times New Roman" w:cs="Times New Roman"/>
          <w:b/>
          <w:i/>
        </w:rPr>
        <w:t>le rapport de l’étude diagnostique élaborée dans le cadre de la formulation du PDES 2022 - 2026 a révélé que la gestion du développement n’a pas encore atteint le niveau d’efficacité souhaité. Il a mis en lumière trois problèmes majeurs notamment la faible coordination de la gestion de l’économie, la faible performance de la gestion des finances publiques et la faible performance du Système statistique national (SSN).</w:t>
      </w:r>
      <w:r>
        <w:rPr>
          <w:rFonts w:ascii="Times New Roman" w:hAnsi="Times New Roman" w:cs="Times New Roman"/>
        </w:rPr>
        <w:t xml:space="preserve">  En effet, le pays peine à opérationnaliser la chaine PPBSE. Le système de planification et le dispositif de suivi et évaluation bien qu’opérationnels doivent être renforcés pour être très efficaces.         </w:t>
      </w:r>
    </w:p>
    <w:p w14:paraId="75798823" w14:textId="77777777" w:rsidR="0028280C" w:rsidRPr="00E25B1F" w:rsidRDefault="0028280C" w:rsidP="00E25B1F">
      <w:pPr>
        <w:pStyle w:val="Titre1"/>
        <w:rPr>
          <w:rFonts w:ascii="Bernard MT Condensed" w:hAnsi="Bernard MT Condensed"/>
          <w:sz w:val="28"/>
          <w:szCs w:val="28"/>
        </w:rPr>
      </w:pPr>
      <w:bookmarkStart w:id="308" w:name="_Toc84789680"/>
      <w:bookmarkStart w:id="309" w:name="_Toc86687751"/>
      <w:bookmarkStart w:id="310" w:name="_Toc89479433"/>
      <w:bookmarkStart w:id="311" w:name="_Toc89480931"/>
      <w:bookmarkStart w:id="312" w:name="_Toc94480173"/>
      <w:bookmarkStart w:id="313" w:name="_Toc94481834"/>
      <w:bookmarkStart w:id="314" w:name="_Toc94482097"/>
      <w:r w:rsidRPr="00E25B1F">
        <w:rPr>
          <w:rFonts w:ascii="Bernard MT Condensed" w:hAnsi="Bernard MT Condensed"/>
          <w:sz w:val="28"/>
          <w:szCs w:val="28"/>
        </w:rPr>
        <w:t>III - Progrès accomplis vers l’atteinte des ODD</w:t>
      </w:r>
      <w:bookmarkEnd w:id="308"/>
      <w:bookmarkEnd w:id="309"/>
      <w:bookmarkEnd w:id="310"/>
      <w:bookmarkEnd w:id="311"/>
      <w:bookmarkEnd w:id="312"/>
      <w:bookmarkEnd w:id="313"/>
      <w:bookmarkEnd w:id="314"/>
    </w:p>
    <w:p w14:paraId="52689BAD" w14:textId="77777777" w:rsidR="0028280C" w:rsidRPr="004371CE" w:rsidRDefault="0028280C" w:rsidP="0028280C">
      <w:pPr>
        <w:spacing w:after="75"/>
        <w:jc w:val="both"/>
        <w:rPr>
          <w:rFonts w:ascii="Times New Roman" w:hAnsi="Times New Roman" w:cs="Times New Roman"/>
        </w:rPr>
      </w:pPr>
      <w:r w:rsidRPr="004371CE">
        <w:rPr>
          <w:rFonts w:ascii="Times New Roman" w:hAnsi="Times New Roman" w:cs="Times New Roman"/>
        </w:rPr>
        <w:t xml:space="preserve">Le Niger a adhéré au programme des Nations Unies pour le développement durable à horizon 2030. Les trois dimensions du développement durable à savoir les dimensions sociale, économique et environnementale ainsi que ses cinq piliers (Partenariat, Planète, Prospérité, Paix et Population) ont guidé l’élaboration de la Stratégie de développement durable (SDDCI) du Niger à l’horizon 2035 qui est opérationnalisée à travers le PDES. A la suite des exercices de priorisation réalisés avec l’appui des Nations Unies, le pays s’est engagé à concentrer ses efforts sur 100 cibles prioritaires dont 43 cibles programmatiques et 57 cibles relatives à la mise en œuvre qui sont pris en compte dans ces référentiels de développement.  Le Niger s’est doté d’une feuille de route pour la localisation de l’agenda 2030 pour assurer un pilotage et une coordination efficaces des processus ou des interventions entreprises par tous acteurs nationaux et internationaux en vue de l’atteinte des cibles priorisées. En dépit des contraintes liées à la production des données statistiques, il a également le mérite d’avoir produit trois rapports nationaux volontaires.   </w:t>
      </w:r>
    </w:p>
    <w:p w14:paraId="12292A85" w14:textId="77777777" w:rsidR="0028280C" w:rsidRPr="00E25B1F" w:rsidRDefault="0028280C" w:rsidP="00E25B1F">
      <w:pPr>
        <w:pStyle w:val="Titre2"/>
        <w:rPr>
          <w:rFonts w:ascii="Bernard MT Condensed" w:hAnsi="Bernard MT Condensed"/>
          <w:sz w:val="24"/>
          <w:szCs w:val="24"/>
        </w:rPr>
      </w:pPr>
      <w:bookmarkStart w:id="315" w:name="_Toc84789681"/>
      <w:bookmarkStart w:id="316" w:name="_Toc86687752"/>
      <w:bookmarkStart w:id="317" w:name="_Toc89479434"/>
      <w:bookmarkStart w:id="318" w:name="_Toc89480932"/>
      <w:bookmarkStart w:id="319" w:name="_Toc94480174"/>
      <w:bookmarkStart w:id="320" w:name="_Toc94481835"/>
      <w:bookmarkStart w:id="321" w:name="_Toc94482098"/>
      <w:r w:rsidRPr="00E25B1F">
        <w:rPr>
          <w:rFonts w:ascii="Bernard MT Condensed" w:hAnsi="Bernard MT Condensed"/>
          <w:sz w:val="24"/>
          <w:szCs w:val="24"/>
        </w:rPr>
        <w:t>III.1 - Gouvernance,</w:t>
      </w:r>
      <w:bookmarkEnd w:id="315"/>
      <w:r w:rsidRPr="00E25B1F">
        <w:rPr>
          <w:rFonts w:ascii="Bernard MT Condensed" w:hAnsi="Bernard MT Condensed"/>
          <w:sz w:val="24"/>
          <w:szCs w:val="24"/>
        </w:rPr>
        <w:t xml:space="preserve"> paix, sécurité</w:t>
      </w:r>
      <w:bookmarkEnd w:id="316"/>
      <w:bookmarkEnd w:id="317"/>
      <w:bookmarkEnd w:id="318"/>
      <w:bookmarkEnd w:id="319"/>
      <w:bookmarkEnd w:id="320"/>
      <w:bookmarkEnd w:id="321"/>
      <w:r w:rsidRPr="00E25B1F">
        <w:rPr>
          <w:rFonts w:ascii="Bernard MT Condensed" w:hAnsi="Bernard MT Condensed"/>
          <w:sz w:val="24"/>
          <w:szCs w:val="24"/>
        </w:rPr>
        <w:t xml:space="preserve"> </w:t>
      </w:r>
    </w:p>
    <w:p w14:paraId="5050EEA8" w14:textId="77777777" w:rsidR="0028280C" w:rsidRDefault="0028280C" w:rsidP="0028280C">
      <w:pPr>
        <w:jc w:val="both"/>
        <w:rPr>
          <w:rFonts w:ascii="Times New Roman" w:hAnsi="Times New Roman" w:cs="Times New Roman"/>
        </w:rPr>
      </w:pPr>
      <w:r w:rsidRPr="003277DD">
        <w:rPr>
          <w:rFonts w:ascii="Times New Roman" w:hAnsi="Times New Roman" w:cs="Times New Roman"/>
        </w:rPr>
        <w:t xml:space="preserve">La gouvernance et la </w:t>
      </w:r>
      <w:r>
        <w:rPr>
          <w:rFonts w:ascii="Times New Roman" w:hAnsi="Times New Roman" w:cs="Times New Roman"/>
        </w:rPr>
        <w:t>sécurité</w:t>
      </w:r>
      <w:r w:rsidRPr="003277DD">
        <w:rPr>
          <w:rFonts w:ascii="Times New Roman" w:hAnsi="Times New Roman" w:cs="Times New Roman"/>
        </w:rPr>
        <w:t xml:space="preserve"> constituent des volets essentiels du programme « </w:t>
      </w:r>
      <w:r w:rsidRPr="000A22D9">
        <w:rPr>
          <w:rFonts w:ascii="Times New Roman" w:hAnsi="Times New Roman" w:cs="Times New Roman"/>
          <w:i/>
        </w:rPr>
        <w:t>Renforcement de la sécurité et de la consolidation de la paix</w:t>
      </w:r>
      <w:r w:rsidRPr="003277DD">
        <w:rPr>
          <w:rFonts w:ascii="Times New Roman" w:hAnsi="Times New Roman" w:cs="Times New Roman"/>
        </w:rPr>
        <w:t xml:space="preserve"> » du PDES qui comprend quatre (4) sous </w:t>
      </w:r>
      <w:r>
        <w:rPr>
          <w:rFonts w:ascii="Times New Roman" w:hAnsi="Times New Roman" w:cs="Times New Roman"/>
        </w:rPr>
        <w:t>programmes à savoir : (i) A</w:t>
      </w:r>
      <w:r w:rsidRPr="003277DD">
        <w:rPr>
          <w:rFonts w:ascii="Times New Roman" w:hAnsi="Times New Roman" w:cs="Times New Roman"/>
        </w:rPr>
        <w:t xml:space="preserve">mélioration du cadre stratégique de la </w:t>
      </w:r>
      <w:r>
        <w:rPr>
          <w:rFonts w:ascii="Times New Roman" w:hAnsi="Times New Roman" w:cs="Times New Roman"/>
        </w:rPr>
        <w:t>gouvernance sécuritaire ; (ii) A</w:t>
      </w:r>
      <w:r w:rsidRPr="003277DD">
        <w:rPr>
          <w:rFonts w:ascii="Times New Roman" w:hAnsi="Times New Roman" w:cs="Times New Roman"/>
        </w:rPr>
        <w:t>tténuation d</w:t>
      </w:r>
      <w:r>
        <w:rPr>
          <w:rFonts w:ascii="Times New Roman" w:hAnsi="Times New Roman" w:cs="Times New Roman"/>
        </w:rPr>
        <w:t>es menaces sécuritaires, (iii) R</w:t>
      </w:r>
      <w:r w:rsidRPr="003277DD">
        <w:rPr>
          <w:rFonts w:ascii="Times New Roman" w:hAnsi="Times New Roman" w:cs="Times New Roman"/>
        </w:rPr>
        <w:t>éduction des c</w:t>
      </w:r>
      <w:r>
        <w:rPr>
          <w:rFonts w:ascii="Times New Roman" w:hAnsi="Times New Roman" w:cs="Times New Roman"/>
        </w:rPr>
        <w:t>onflits communautaires et (iv) P</w:t>
      </w:r>
      <w:r w:rsidRPr="003277DD">
        <w:rPr>
          <w:rFonts w:ascii="Times New Roman" w:hAnsi="Times New Roman" w:cs="Times New Roman"/>
        </w:rPr>
        <w:t>romotion des initiatives de développement pour la paix et la sécurité. A travers</w:t>
      </w:r>
      <w:r>
        <w:rPr>
          <w:rFonts w:ascii="Times New Roman" w:hAnsi="Times New Roman" w:cs="Times New Roman"/>
        </w:rPr>
        <w:t xml:space="preserve"> ce programme, le Niger a établi </w:t>
      </w:r>
      <w:r w:rsidRPr="003277DD">
        <w:rPr>
          <w:rFonts w:ascii="Times New Roman" w:hAnsi="Times New Roman" w:cs="Times New Roman"/>
        </w:rPr>
        <w:t xml:space="preserve">un lien très fort entre paix, sécurité et développement dont l’objectif est triple : (i) Renforcer la présence effective de l’Etat dans les zones à risques sécuritaires et impliquer les collectivités territoriales (communes et régions) ; (ii) Elaborer et mettre en œuvre des politiques et stratégies sectorielles sur les questions de paix, de sécurité et de développement local prenant en compte la dimension des changements climatiques ; (iii) Créer des institutions fonctionnelles en charge de la mise en œuvre des stratégies de prévention des conflits et de consolidation de la paix (HACP, CNESS, CNCCAI, CNDP, CNDS, SP- </w:t>
      </w:r>
      <w:r w:rsidRPr="003277DD">
        <w:rPr>
          <w:rFonts w:ascii="Times New Roman" w:hAnsi="Times New Roman" w:cs="Times New Roman"/>
        </w:rPr>
        <w:lastRenderedPageBreak/>
        <w:t>Code Rural, SE-SDS Sahel Niger), en plus des structures et mécanismes traditionnels (chefferie, arbre à palabre).</w:t>
      </w:r>
    </w:p>
    <w:p w14:paraId="4BE081AA" w14:textId="77777777" w:rsidR="0028280C" w:rsidRDefault="0028280C" w:rsidP="0028280C">
      <w:pPr>
        <w:jc w:val="both"/>
        <w:rPr>
          <w:rFonts w:ascii="Times New Roman" w:hAnsi="Times New Roman" w:cs="Times New Roman"/>
        </w:rPr>
      </w:pPr>
      <w:r>
        <w:rPr>
          <w:rFonts w:ascii="Times New Roman" w:hAnsi="Times New Roman" w:cs="Times New Roman"/>
        </w:rPr>
        <w:t>En matière de gouvernance et de paix, l</w:t>
      </w:r>
      <w:r w:rsidRPr="003277DD">
        <w:rPr>
          <w:rFonts w:ascii="Times New Roman" w:hAnsi="Times New Roman" w:cs="Times New Roman"/>
        </w:rPr>
        <w:t>e Niger poursuit la mise en œuvre de la Politique Nationale de Justice et des Droits Humains assortie d’un plan d’actions décennal de mise en œuvre pour la période 2016 – 2025. Entre 2012 et 2015, plusieurs lois ont été votées pour la lutte contre la corruption, le trafic illicite de migrants, le terrorisme, le commerce et celle portant code de procédure civile attendue depuis plusieurs décennies. Des réformes institutionnelles ont été engagées avec la création d’une Agence Nationale de l’Assistance Juridique (ANAJ), de la Commission Nationale de Coordination de Lutte Contre la Traite des Personnes (CNLCTP) et de l’Agence Nationale de Lutte contre la Traite des Personnes (ANLTP).</w:t>
      </w:r>
    </w:p>
    <w:p w14:paraId="7EDB4067" w14:textId="77777777" w:rsidR="0028280C" w:rsidRDefault="0028280C" w:rsidP="0028280C">
      <w:pPr>
        <w:jc w:val="both"/>
        <w:rPr>
          <w:rFonts w:ascii="Times New Roman" w:hAnsi="Times New Roman" w:cs="Times New Roman"/>
        </w:rPr>
      </w:pPr>
      <w:r w:rsidRPr="002E534C">
        <w:rPr>
          <w:noProof/>
          <w:lang w:eastAsia="fr-FR"/>
        </w:rPr>
        <mc:AlternateContent>
          <mc:Choice Requires="wpg">
            <w:drawing>
              <wp:anchor distT="0" distB="0" distL="114300" distR="114300" simplePos="0" relativeHeight="251659264" behindDoc="0" locked="0" layoutInCell="1" allowOverlap="1" wp14:anchorId="5253AC69" wp14:editId="2217874C">
                <wp:simplePos x="0" y="0"/>
                <wp:positionH relativeFrom="margin">
                  <wp:align>right</wp:align>
                </wp:positionH>
                <wp:positionV relativeFrom="paragraph">
                  <wp:posOffset>65405</wp:posOffset>
                </wp:positionV>
                <wp:extent cx="3295650" cy="2286000"/>
                <wp:effectExtent l="0" t="0" r="0" b="0"/>
                <wp:wrapSquare wrapText="bothSides"/>
                <wp:docPr id="83752" name="Group 83752"/>
                <wp:cNvGraphicFramePr/>
                <a:graphic xmlns:a="http://schemas.openxmlformats.org/drawingml/2006/main">
                  <a:graphicData uri="http://schemas.microsoft.com/office/word/2010/wordprocessingGroup">
                    <wpg:wgp>
                      <wpg:cNvGrpSpPr/>
                      <wpg:grpSpPr>
                        <a:xfrm>
                          <a:off x="0" y="0"/>
                          <a:ext cx="3295650" cy="2286000"/>
                          <a:chOff x="0" y="0"/>
                          <a:chExt cx="3346704" cy="2357628"/>
                        </a:xfrm>
                      </wpg:grpSpPr>
                      <wps:wsp>
                        <wps:cNvPr id="4216" name="Shape 4216"/>
                        <wps:cNvSpPr/>
                        <wps:spPr>
                          <a:xfrm>
                            <a:off x="0" y="0"/>
                            <a:ext cx="1672590" cy="2357628"/>
                          </a:xfrm>
                          <a:custGeom>
                            <a:avLst/>
                            <a:gdLst/>
                            <a:ahLst/>
                            <a:cxnLst/>
                            <a:rect l="0" t="0" r="0" b="0"/>
                            <a:pathLst>
                              <a:path w="1672590" h="2357628">
                                <a:moveTo>
                                  <a:pt x="1524" y="0"/>
                                </a:moveTo>
                                <a:lnTo>
                                  <a:pt x="1672590" y="0"/>
                                </a:lnTo>
                                <a:lnTo>
                                  <a:pt x="1672590" y="6096"/>
                                </a:lnTo>
                                <a:lnTo>
                                  <a:pt x="4572" y="6096"/>
                                </a:lnTo>
                                <a:lnTo>
                                  <a:pt x="4572" y="2351532"/>
                                </a:lnTo>
                                <a:lnTo>
                                  <a:pt x="1672590" y="2351532"/>
                                </a:lnTo>
                                <a:lnTo>
                                  <a:pt x="1672590" y="2357628"/>
                                </a:lnTo>
                                <a:lnTo>
                                  <a:pt x="1524" y="2357628"/>
                                </a:lnTo>
                                <a:cubicBezTo>
                                  <a:pt x="0" y="2357628"/>
                                  <a:pt x="0" y="2356104"/>
                                  <a:pt x="0" y="2354580"/>
                                </a:cubicBezTo>
                                <a:lnTo>
                                  <a:pt x="0" y="3048"/>
                                </a:lnTo>
                                <a:cubicBezTo>
                                  <a:pt x="0" y="1524"/>
                                  <a:pt x="0" y="0"/>
                                  <a:pt x="152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17" name="Shape 4217"/>
                        <wps:cNvSpPr/>
                        <wps:spPr>
                          <a:xfrm>
                            <a:off x="1672590" y="0"/>
                            <a:ext cx="1674114" cy="2357628"/>
                          </a:xfrm>
                          <a:custGeom>
                            <a:avLst/>
                            <a:gdLst/>
                            <a:ahLst/>
                            <a:cxnLst/>
                            <a:rect l="0" t="0" r="0" b="0"/>
                            <a:pathLst>
                              <a:path w="1674114" h="2357628">
                                <a:moveTo>
                                  <a:pt x="0" y="0"/>
                                </a:moveTo>
                                <a:lnTo>
                                  <a:pt x="1671066" y="0"/>
                                </a:lnTo>
                                <a:cubicBezTo>
                                  <a:pt x="1672590" y="0"/>
                                  <a:pt x="1674114" y="1524"/>
                                  <a:pt x="1674114" y="3048"/>
                                </a:cubicBezTo>
                                <a:lnTo>
                                  <a:pt x="1674114" y="2354580"/>
                                </a:lnTo>
                                <a:cubicBezTo>
                                  <a:pt x="1674114" y="2356104"/>
                                  <a:pt x="1672590" y="2357628"/>
                                  <a:pt x="1671066" y="2357628"/>
                                </a:cubicBezTo>
                                <a:lnTo>
                                  <a:pt x="0" y="2357628"/>
                                </a:lnTo>
                                <a:lnTo>
                                  <a:pt x="0" y="2351532"/>
                                </a:lnTo>
                                <a:lnTo>
                                  <a:pt x="1668018" y="2351532"/>
                                </a:lnTo>
                                <a:lnTo>
                                  <a:pt x="1668018" y="6096"/>
                                </a:lnTo>
                                <a:lnTo>
                                  <a:pt x="0" y="609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18" name="Rectangle 4218"/>
                        <wps:cNvSpPr/>
                        <wps:spPr>
                          <a:xfrm>
                            <a:off x="91439" y="129191"/>
                            <a:ext cx="1832742" cy="127641"/>
                          </a:xfrm>
                          <a:prstGeom prst="rect">
                            <a:avLst/>
                          </a:prstGeom>
                          <a:ln>
                            <a:noFill/>
                          </a:ln>
                        </wps:spPr>
                        <wps:txbx>
                          <w:txbxContent>
                            <w:p w14:paraId="69B967FE" w14:textId="77777777" w:rsidR="00E02FE2" w:rsidRDefault="00E02FE2" w:rsidP="0028280C">
                              <w:r>
                                <w:rPr>
                                  <w:rFonts w:ascii="Calibri" w:eastAsia="Calibri" w:hAnsi="Calibri" w:cs="Calibri"/>
                                  <w:b/>
                                  <w:color w:val="3E762A"/>
                                  <w:sz w:val="15"/>
                                </w:rPr>
                                <w:t xml:space="preserve">Figure 21 Cibles priorisées ODD 16 </w:t>
                              </w:r>
                            </w:p>
                          </w:txbxContent>
                        </wps:txbx>
                        <wps:bodyPr horzOverflow="overflow" vert="horz" lIns="0" tIns="0" rIns="0" bIns="0" rtlCol="0">
                          <a:noAutofit/>
                        </wps:bodyPr>
                      </wps:wsp>
                      <pic:pic xmlns:pic="http://schemas.openxmlformats.org/drawingml/2006/picture">
                        <pic:nvPicPr>
                          <pic:cNvPr id="4220" name="Picture 4220"/>
                          <pic:cNvPicPr/>
                        </pic:nvPicPr>
                        <pic:blipFill>
                          <a:blip r:embed="rId46"/>
                          <a:stretch>
                            <a:fillRect/>
                          </a:stretch>
                        </pic:blipFill>
                        <pic:spPr>
                          <a:xfrm>
                            <a:off x="88392" y="359663"/>
                            <a:ext cx="3168396" cy="1918716"/>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253AC69" id="Group 83752" o:spid="_x0000_s1029" style="position:absolute;left:0;text-align:left;margin-left:208.3pt;margin-top:5.15pt;width:259.5pt;height:180pt;z-index:251659264;mso-position-horizontal:right;mso-position-horizontal-relative:margin;mso-width-relative:margin;mso-height-relative:margin" coordsize="33467,2357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">
                <v:shape id="Shape 4216" o:spid="_x0000_s1030" style="position:absolute;width:16725;height:23576;visibility:visible;mso-wrap-style:square;v-text-anchor:top" coordsize="1672590,2357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" path="m1524,l1672590,r,6096l4572,6096r,2345436l1672590,2351532r,6096l1524,2357628c,2357628,,2356104,,2354580l,3048c,1524,,,1524,xe" fillcolor="black" stroked="f" strokeweight="0">
                  <v:stroke miterlimit="83231f" joinstyle="miter"/>
                  <v:path arrowok="t" textboxrect="0,0,1672590,2357628"/>
                </v:shape>
                <v:shape id="Shape 4217" o:spid="_x0000_s1031" style="position:absolute;left:16725;width:16742;height:23576;visibility:visible;mso-wrap-style:square;v-text-anchor:top" coordsize="1674114,2357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" path="m,l1671066,v1524,,3048,1524,3048,3048l1674114,2354580v,1524,-1524,3048,-3048,3048l,2357628r,-6096l1668018,2351532r,-2345436l,6096,,xe" fillcolor="black" stroked="f" strokeweight="0">
                  <v:stroke miterlimit="83231f" joinstyle="miter"/>
                  <v:path arrowok="t" textboxrect="0,0,1674114,2357628"/>
                </v:shape>
                <v:rect id="Rectangle 4218" o:spid="_x0000_s1032" style="position:absolute;left:914;top:1291;width:18327;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" filled="f" stroked="f">
                  <v:textbox inset="0,0,0,0">
                    <w:txbxContent>
                      <w:p w14:paraId="69B967FE" w14:textId="77777777" w:rsidR="00E02FE2" w:rsidRDefault="00E02FE2" w:rsidP="0028280C">
                        <w:r>
                          <w:rPr>
                            <w:rFonts w:ascii="Calibri" w:eastAsia="Calibri" w:hAnsi="Calibri" w:cs="Calibri"/>
                            <w:b/>
                            <w:color w:val="3E762A"/>
                            <w:sz w:val="15"/>
                          </w:rPr>
                          <w:t xml:space="preserve">Figure 21 Cibles priorisées ODD 16 </w:t>
                        </w:r>
                      </w:p>
                    </w:txbxContent>
                  </v:textbox>
                </v:rect>
                <v:shape id="Picture 4220" o:spid="_x0000_s1033" type="#_x0000_t75" style="position:absolute;left:883;top:3596;width:31684;height:19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">
                  <v:imagedata r:id="rId47" o:title=""/>
                </v:shape>
                <w10:wrap type="square" anchorx="margin"/>
              </v:group>
            </w:pict>
          </mc:Fallback>
        </mc:AlternateContent>
      </w:r>
      <w:r>
        <w:rPr>
          <w:rFonts w:ascii="Times New Roman" w:hAnsi="Times New Roman" w:cs="Times New Roman"/>
        </w:rPr>
        <w:t>L</w:t>
      </w:r>
      <w:r w:rsidRPr="003277DD">
        <w:rPr>
          <w:rFonts w:ascii="Times New Roman" w:hAnsi="Times New Roman" w:cs="Times New Roman"/>
        </w:rPr>
        <w:t>e programme « </w:t>
      </w:r>
      <w:r w:rsidRPr="000A22D9">
        <w:rPr>
          <w:rFonts w:ascii="Times New Roman" w:hAnsi="Times New Roman" w:cs="Times New Roman"/>
          <w:i/>
        </w:rPr>
        <w:t>Renforcement de la sécurité et de la consolidation de la paix</w:t>
      </w:r>
      <w:r w:rsidRPr="003277DD">
        <w:rPr>
          <w:rFonts w:ascii="Times New Roman" w:hAnsi="Times New Roman" w:cs="Times New Roman"/>
        </w:rPr>
        <w:t xml:space="preserve"> »</w:t>
      </w:r>
      <w:r>
        <w:rPr>
          <w:rFonts w:ascii="Times New Roman" w:hAnsi="Times New Roman" w:cs="Times New Roman"/>
        </w:rPr>
        <w:t xml:space="preserve"> </w:t>
      </w:r>
      <w:r w:rsidRPr="003277DD">
        <w:rPr>
          <w:rFonts w:ascii="Times New Roman" w:hAnsi="Times New Roman" w:cs="Times New Roman"/>
        </w:rPr>
        <w:t>vise à contribuer aux cibles de l’ODD 16 sélectionnés par le pays.</w:t>
      </w:r>
      <w:r>
        <w:rPr>
          <w:rFonts w:ascii="Times New Roman" w:hAnsi="Times New Roman" w:cs="Times New Roman"/>
        </w:rPr>
        <w:t xml:space="preserve"> L</w:t>
      </w:r>
      <w:r w:rsidRPr="003277DD">
        <w:rPr>
          <w:rFonts w:ascii="Times New Roman" w:hAnsi="Times New Roman" w:cs="Times New Roman"/>
        </w:rPr>
        <w:t xml:space="preserve">e PDES 2017-2021 a retenu de mettre l’accent sur un tiers des cibles de l’ODD16 (figure 21) : la promotion de l’Etat de droit et la garantie de l’accès à la justice pour tous, la garantie d’une identité juridique pour tous par l’enregistrement des naissances, la prévention de la violence et la lutte contre le terrorisme et, la promotion et l’application de lois non discriminatoires de développement durable. </w:t>
      </w:r>
      <w:r>
        <w:rPr>
          <w:rFonts w:ascii="Times New Roman" w:hAnsi="Times New Roman" w:cs="Times New Roman"/>
        </w:rPr>
        <w:t xml:space="preserve">Les progrès enregistrés vers l’atteinte des cibles sélectionnées </w:t>
      </w:r>
      <w:r w:rsidRPr="00620813">
        <w:rPr>
          <w:rFonts w:ascii="Times New Roman" w:hAnsi="Times New Roman" w:cs="Times New Roman"/>
        </w:rPr>
        <w:t xml:space="preserve">seront mesurés à travers le degré de satisfaction des populations </w:t>
      </w:r>
      <w:r>
        <w:rPr>
          <w:rFonts w:ascii="Times New Roman" w:hAnsi="Times New Roman" w:cs="Times New Roman"/>
        </w:rPr>
        <w:t xml:space="preserve">sur l’accès et la qualité des </w:t>
      </w:r>
      <w:r w:rsidRPr="00620813">
        <w:rPr>
          <w:rFonts w:ascii="Times New Roman" w:hAnsi="Times New Roman" w:cs="Times New Roman"/>
        </w:rPr>
        <w:t xml:space="preserve">prestations de l’administration publique et des Institutions de la République, l’indice Mo Ibrahim qui </w:t>
      </w:r>
      <w:r>
        <w:rPr>
          <w:rFonts w:ascii="Times New Roman" w:hAnsi="Times New Roman" w:cs="Times New Roman"/>
        </w:rPr>
        <w:t>devra passer</w:t>
      </w:r>
      <w:r w:rsidRPr="00620813">
        <w:rPr>
          <w:rFonts w:ascii="Times New Roman" w:hAnsi="Times New Roman" w:cs="Times New Roman"/>
        </w:rPr>
        <w:t xml:space="preserve"> à 53</w:t>
      </w:r>
      <w:r>
        <w:rPr>
          <w:rFonts w:ascii="Times New Roman" w:hAnsi="Times New Roman" w:cs="Times New Roman"/>
        </w:rPr>
        <w:t>%</w:t>
      </w:r>
      <w:r w:rsidRPr="00620813">
        <w:rPr>
          <w:rFonts w:ascii="Times New Roman" w:hAnsi="Times New Roman" w:cs="Times New Roman"/>
        </w:rPr>
        <w:t xml:space="preserve"> en 2021</w:t>
      </w:r>
      <w:r>
        <w:rPr>
          <w:rFonts w:ascii="Times New Roman" w:hAnsi="Times New Roman" w:cs="Times New Roman"/>
        </w:rPr>
        <w:t xml:space="preserve"> contre </w:t>
      </w:r>
      <w:r w:rsidRPr="00620813">
        <w:rPr>
          <w:rFonts w:ascii="Times New Roman" w:hAnsi="Times New Roman" w:cs="Times New Roman"/>
        </w:rPr>
        <w:t>de 50,2 en 2015) et l’indice de Gouvernance (</w:t>
      </w:r>
      <w:r>
        <w:rPr>
          <w:rFonts w:ascii="Times New Roman" w:hAnsi="Times New Roman" w:cs="Times New Roman"/>
        </w:rPr>
        <w:t xml:space="preserve">CPIA) </w:t>
      </w:r>
      <w:r w:rsidRPr="00620813">
        <w:rPr>
          <w:rFonts w:ascii="Times New Roman" w:hAnsi="Times New Roman" w:cs="Times New Roman"/>
        </w:rPr>
        <w:t>à 4 en 2021</w:t>
      </w:r>
      <w:r>
        <w:rPr>
          <w:rFonts w:ascii="Times New Roman" w:hAnsi="Times New Roman" w:cs="Times New Roman"/>
        </w:rPr>
        <w:t>contre</w:t>
      </w:r>
      <w:r w:rsidRPr="00620813">
        <w:rPr>
          <w:rFonts w:ascii="Times New Roman" w:hAnsi="Times New Roman" w:cs="Times New Roman"/>
        </w:rPr>
        <w:t xml:space="preserve"> 3,5 en 2015.</w:t>
      </w:r>
    </w:p>
    <w:p w14:paraId="3C42B3F7" w14:textId="77777777" w:rsidR="0028280C" w:rsidRDefault="0028280C" w:rsidP="0028280C">
      <w:pPr>
        <w:jc w:val="both"/>
        <w:rPr>
          <w:rFonts w:ascii="Times New Roman" w:hAnsi="Times New Roman" w:cs="Times New Roman"/>
        </w:rPr>
      </w:pPr>
      <w:r w:rsidRPr="00190696">
        <w:rPr>
          <w:rFonts w:ascii="Times New Roman" w:hAnsi="Times New Roman" w:cs="Times New Roman"/>
        </w:rPr>
        <w:t>En matière de gouvernance et de paix, les rapports nationaux volontaires 2018, 2020 et 2021 indiquent que :</w:t>
      </w:r>
    </w:p>
    <w:p w14:paraId="65FEF101" w14:textId="77777777" w:rsidR="0028280C" w:rsidRPr="00905C18" w:rsidRDefault="0028280C" w:rsidP="0028280C">
      <w:pPr>
        <w:spacing w:after="205" w:line="269" w:lineRule="auto"/>
        <w:ind w:left="-5" w:right="125"/>
        <w:jc w:val="both"/>
        <w:rPr>
          <w:rFonts w:ascii="Times New Roman" w:hAnsi="Times New Roman" w:cs="Times New Roman"/>
        </w:rPr>
      </w:pPr>
      <w:r w:rsidRPr="00427A45">
        <w:rPr>
          <w:rFonts w:ascii="Times New Roman" w:eastAsia="Calibri" w:hAnsi="Times New Roman" w:cs="Times New Roman"/>
          <w:b/>
        </w:rPr>
        <w:t>ODD 16</w:t>
      </w:r>
      <w:r>
        <w:rPr>
          <w:rFonts w:ascii="Times New Roman" w:eastAsia="Calibri" w:hAnsi="Times New Roman" w:cs="Times New Roman"/>
        </w:rPr>
        <w:t xml:space="preserve"> : </w:t>
      </w:r>
      <w:r w:rsidRPr="00A318E6">
        <w:rPr>
          <w:rFonts w:ascii="Times New Roman" w:eastAsia="Calibri" w:hAnsi="Times New Roman" w:cs="Times New Roman"/>
        </w:rPr>
        <w:t xml:space="preserve">Le Niger a enregistré des progrès notables vers l’atteinte de la </w:t>
      </w:r>
      <w:r w:rsidRPr="00B4770E">
        <w:rPr>
          <w:rFonts w:ascii="Times New Roman" w:eastAsia="Calibri" w:hAnsi="Times New Roman" w:cs="Times New Roman"/>
          <w:b/>
          <w:i/>
        </w:rPr>
        <w:t>cible 16.3 « Promouvoir de l’état de droit dans l’ordre interne et international et garantir à tous un égal accès à la justice »</w:t>
      </w:r>
      <w:r w:rsidRPr="00A318E6">
        <w:rPr>
          <w:rFonts w:ascii="Times New Roman" w:eastAsia="Calibri" w:hAnsi="Times New Roman" w:cs="Times New Roman"/>
        </w:rPr>
        <w:t xml:space="preserve">. </w:t>
      </w:r>
      <w:r>
        <w:rPr>
          <w:rFonts w:ascii="Times New Roman" w:eastAsia="Calibri" w:hAnsi="Times New Roman" w:cs="Times New Roman"/>
        </w:rPr>
        <w:t>Précisément</w:t>
      </w:r>
      <w:r w:rsidRPr="00A318E6">
        <w:rPr>
          <w:rFonts w:ascii="Times New Roman" w:eastAsia="Calibri" w:hAnsi="Times New Roman" w:cs="Times New Roman"/>
        </w:rPr>
        <w:t xml:space="preserve">, </w:t>
      </w:r>
      <w:r w:rsidRPr="00905C18">
        <w:rPr>
          <w:rFonts w:ascii="Times New Roman" w:hAnsi="Times New Roman" w:cs="Times New Roman"/>
        </w:rPr>
        <w:t>la promotion de l’Etat de droit et l’accès à la justice ont connu une amélioration significative grâce d’une part à l’extension de la  couverture des infrastructures judiciaires qui est passée de 61% de la population en 2017 à 64% en 2018 et d’autre part au fonctionnement régulier de toutes les institutions républicaines. Il faut également signaler l’adoption de la Loi 2018-37 portant organisation du système judiciaire.</w:t>
      </w:r>
      <w:r w:rsidRPr="002E534C">
        <w:t xml:space="preserve"> </w:t>
      </w:r>
      <w:r w:rsidRPr="00905C18">
        <w:rPr>
          <w:rFonts w:ascii="Times New Roman" w:hAnsi="Times New Roman" w:cs="Times New Roman"/>
        </w:rPr>
        <w:t xml:space="preserve">L’augmentation de la couverture en infrastructures judiciaires a amélioré l’accès à la justice pour tous particulièrement dans les zones rurales. Toutefois, de nombreux défis (lenteur des procédures juridiques, nombre de magistrats disponibles…) demeurent de sérieux handicaps pour accroître l’efficacité du système judiciaire.  </w:t>
      </w:r>
    </w:p>
    <w:p w14:paraId="0070B13F" w14:textId="7BAE44A0" w:rsidR="0028280C" w:rsidRPr="00364977" w:rsidRDefault="0028280C" w:rsidP="0028280C">
      <w:pPr>
        <w:jc w:val="both"/>
        <w:rPr>
          <w:rFonts w:ascii="Times New Roman" w:hAnsi="Times New Roman" w:cs="Times New Roman"/>
        </w:rPr>
      </w:pPr>
      <w:r w:rsidRPr="00427A45">
        <w:rPr>
          <w:rFonts w:ascii="Times New Roman" w:eastAsia="Calibri" w:hAnsi="Times New Roman" w:cs="Times New Roman"/>
          <w:b/>
        </w:rPr>
        <w:t>ODD 16</w:t>
      </w:r>
      <w:r>
        <w:rPr>
          <w:rFonts w:ascii="Times New Roman" w:eastAsia="Calibri" w:hAnsi="Times New Roman" w:cs="Times New Roman"/>
        </w:rPr>
        <w:t xml:space="preserve"> : </w:t>
      </w:r>
      <w:r w:rsidRPr="00190696">
        <w:rPr>
          <w:rFonts w:ascii="Times New Roman" w:hAnsi="Times New Roman" w:cs="Times New Roman"/>
          <w:b/>
          <w:i/>
        </w:rPr>
        <w:t xml:space="preserve">La proportion de </w:t>
      </w:r>
      <w:r w:rsidRPr="00364977">
        <w:rPr>
          <w:rFonts w:ascii="Times New Roman" w:hAnsi="Times New Roman" w:cs="Times New Roman"/>
          <w:b/>
          <w:i/>
        </w:rPr>
        <w:t>victimes de violences au cours des 12 mois précédents ayant signalé les faits aux autorités compétentes ou à d’autres mécanismes de règlement des différends officiellement reconnus</w:t>
      </w:r>
      <w:r w:rsidRPr="00364977">
        <w:rPr>
          <w:rFonts w:ascii="Times New Roman" w:hAnsi="Times New Roman" w:cs="Times New Roman"/>
        </w:rPr>
        <w:t xml:space="preserve"> </w:t>
      </w:r>
      <w:r w:rsidRPr="00364977">
        <w:rPr>
          <w:rFonts w:ascii="Times New Roman" w:hAnsi="Times New Roman" w:cs="Times New Roman"/>
          <w:b/>
          <w:i/>
        </w:rPr>
        <w:t>(</w:t>
      </w:r>
      <w:r w:rsidRPr="00364977">
        <w:rPr>
          <w:rFonts w:ascii="Times New Roman" w:hAnsi="Times New Roman" w:cs="Times New Roman"/>
          <w:b/>
          <w:bCs/>
          <w:i/>
        </w:rPr>
        <w:t>Indicateur 16.3.1)</w:t>
      </w:r>
      <w:r w:rsidRPr="00364977">
        <w:rPr>
          <w:rFonts w:ascii="Times New Roman" w:hAnsi="Times New Roman" w:cs="Times New Roman"/>
          <w:bCs/>
        </w:rPr>
        <w:t xml:space="preserve"> ne peut être appréciée pour la période 2017 - 2021 en raison de l’absence de</w:t>
      </w:r>
      <w:r w:rsidRPr="00364977">
        <w:rPr>
          <w:rFonts w:ascii="Times New Roman" w:hAnsi="Times New Roman" w:cs="Times New Roman"/>
        </w:rPr>
        <w:t xml:space="preserve"> données récentes. Les données disponibles datent de 2015</w:t>
      </w:r>
      <w:r w:rsidRPr="00364977">
        <w:rPr>
          <w:rStyle w:val="Appelnotedebasdep"/>
          <w:rFonts w:ascii="Times New Roman" w:hAnsi="Times New Roman" w:cs="Times New Roman"/>
        </w:rPr>
        <w:footnoteReference w:id="84"/>
      </w:r>
      <w:r w:rsidRPr="00364977">
        <w:rPr>
          <w:rFonts w:ascii="Times New Roman" w:hAnsi="Times New Roman" w:cs="Times New Roman"/>
        </w:rPr>
        <w:t xml:space="preserve">.  </w:t>
      </w:r>
    </w:p>
    <w:p w14:paraId="7E4C775A" w14:textId="77777777" w:rsidR="0028280C" w:rsidRPr="00364977" w:rsidRDefault="0028280C" w:rsidP="0028280C">
      <w:pPr>
        <w:jc w:val="both"/>
        <w:rPr>
          <w:rFonts w:ascii="Times New Roman" w:hAnsi="Times New Roman" w:cs="Times New Roman"/>
        </w:rPr>
      </w:pPr>
      <w:r w:rsidRPr="00364977">
        <w:rPr>
          <w:rFonts w:ascii="Times New Roman" w:eastAsia="Calibri" w:hAnsi="Times New Roman" w:cs="Times New Roman"/>
          <w:b/>
        </w:rPr>
        <w:lastRenderedPageBreak/>
        <w:t>ODD 16</w:t>
      </w:r>
      <w:r w:rsidRPr="00364977">
        <w:rPr>
          <w:rFonts w:ascii="Times New Roman" w:eastAsia="Calibri" w:hAnsi="Times New Roman" w:cs="Times New Roman"/>
        </w:rPr>
        <w:t xml:space="preserve"> : </w:t>
      </w:r>
      <w:r w:rsidRPr="00364977">
        <w:rPr>
          <w:rFonts w:ascii="Times New Roman" w:hAnsi="Times New Roman" w:cs="Times New Roman"/>
          <w:b/>
          <w:bCs/>
          <w:i/>
        </w:rPr>
        <w:t>La proportion de la population carcérale en instance de jugement Indicateur (Indicateur 16.3.2</w:t>
      </w:r>
      <w:r w:rsidRPr="00364977">
        <w:rPr>
          <w:rFonts w:ascii="Times New Roman" w:hAnsi="Times New Roman" w:cs="Times New Roman"/>
          <w:b/>
          <w:i/>
        </w:rPr>
        <w:t>)</w:t>
      </w:r>
      <w:r w:rsidRPr="00364977">
        <w:t xml:space="preserve"> </w:t>
      </w:r>
      <w:r w:rsidRPr="00364977">
        <w:rPr>
          <w:rFonts w:ascii="Times New Roman" w:hAnsi="Times New Roman" w:cs="Times New Roman"/>
          <w:bCs/>
        </w:rPr>
        <w:t>ne peut être appréciée pour la période 2017 - 2021 en raison de l’absence de</w:t>
      </w:r>
      <w:r w:rsidRPr="00364977">
        <w:rPr>
          <w:rFonts w:ascii="Times New Roman" w:hAnsi="Times New Roman" w:cs="Times New Roman"/>
        </w:rPr>
        <w:t xml:space="preserve"> données récentes. Les données disponibles datent de 2015</w:t>
      </w:r>
      <w:r w:rsidRPr="00364977">
        <w:rPr>
          <w:rStyle w:val="Appelnotedebasdep"/>
          <w:rFonts w:ascii="Times New Roman" w:hAnsi="Times New Roman" w:cs="Times New Roman"/>
        </w:rPr>
        <w:footnoteReference w:id="85"/>
      </w:r>
      <w:r w:rsidRPr="00364977">
        <w:rPr>
          <w:rFonts w:ascii="Times New Roman" w:hAnsi="Times New Roman" w:cs="Times New Roman"/>
        </w:rPr>
        <w:t>.  Elles indiquent que 59,81 % de la population des prévenus étaient en instance de jugement au 31 décembre 2015. Des progrès étaient notés dans le traitement des dossiers judiciaires. Ainsi, le taux de poursuites pénales était passé de 83,0% en 2012 à 92,2% en 2015. De même, le nombre d’affaires instruites par juge d’instruction avait augmenté de 41 dossiers en 2012 à 97 en 2015. Ces progrès avaient réalisé malgré l’insuffisance du personnel judiciaire caractérisé, entre autres, par un ratio agents/magistrat estimé à 1,45, soit moins de 2 agents/magistrat alors que les normes internationales en la matière font état de 3 agents/magistrat.</w:t>
      </w:r>
    </w:p>
    <w:p w14:paraId="568BC41C" w14:textId="3DAC04BE" w:rsidR="0028280C" w:rsidRPr="00364977" w:rsidRDefault="0028280C" w:rsidP="0028280C">
      <w:pPr>
        <w:spacing w:after="236"/>
        <w:ind w:left="-5" w:right="122"/>
        <w:jc w:val="both"/>
        <w:rPr>
          <w:rFonts w:ascii="Times New Roman" w:hAnsi="Times New Roman" w:cs="Times New Roman"/>
        </w:rPr>
      </w:pPr>
      <w:r w:rsidRPr="00364977">
        <w:rPr>
          <w:rFonts w:ascii="Times New Roman" w:eastAsia="Calibri" w:hAnsi="Times New Roman" w:cs="Times New Roman"/>
          <w:b/>
        </w:rPr>
        <w:t>ODD 16</w:t>
      </w:r>
      <w:r w:rsidRPr="00364977">
        <w:rPr>
          <w:rFonts w:ascii="Times New Roman" w:eastAsia="Calibri" w:hAnsi="Times New Roman" w:cs="Times New Roman"/>
        </w:rPr>
        <w:t xml:space="preserve"> : </w:t>
      </w:r>
      <w:r w:rsidRPr="00364977">
        <w:rPr>
          <w:rFonts w:ascii="Times New Roman" w:hAnsi="Times New Roman" w:cs="Times New Roman"/>
          <w:b/>
          <w:i/>
        </w:rPr>
        <w:t>La cible 16.6 « </w:t>
      </w:r>
      <w:r w:rsidRPr="00364977">
        <w:rPr>
          <w:rFonts w:ascii="Times New Roman" w:eastAsia="Calibri" w:hAnsi="Times New Roman" w:cs="Times New Roman"/>
          <w:b/>
          <w:i/>
        </w:rPr>
        <w:t>Mettre en place des institutions efficaces, responsables et transparentes à tous les niveaux »</w:t>
      </w:r>
      <w:r w:rsidRPr="00364977">
        <w:rPr>
          <w:rFonts w:ascii="Times New Roman" w:eastAsia="Calibri" w:hAnsi="Times New Roman" w:cs="Times New Roman"/>
          <w:b/>
        </w:rPr>
        <w:t xml:space="preserve"> </w:t>
      </w:r>
      <w:r w:rsidRPr="00364977">
        <w:rPr>
          <w:rFonts w:ascii="Times New Roman" w:eastAsia="Calibri" w:hAnsi="Times New Roman" w:cs="Times New Roman"/>
        </w:rPr>
        <w:t>ne peut pas être objectivement appréciée pour la période 2019 - 2021 en raison de l’absence de données récentes.</w:t>
      </w:r>
      <w:r w:rsidRPr="00364977">
        <w:rPr>
          <w:rFonts w:ascii="Times New Roman" w:eastAsia="Calibri" w:hAnsi="Times New Roman" w:cs="Times New Roman"/>
          <w:b/>
        </w:rPr>
        <w:t xml:space="preserve"> </w:t>
      </w:r>
      <w:r w:rsidRPr="00364977">
        <w:rPr>
          <w:rFonts w:ascii="Times New Roman" w:hAnsi="Times New Roman" w:cs="Times New Roman"/>
        </w:rPr>
        <w:t>Toutefois, il a été relevé que l’efficacité des institutions et leur caractère responsable et transparent s’est améliorée au cours de cette période. En e</w:t>
      </w:r>
      <w:r w:rsidR="00CA02FA" w:rsidRPr="00364977">
        <w:rPr>
          <w:rFonts w:ascii="Times New Roman" w:hAnsi="Times New Roman" w:cs="Times New Roman"/>
        </w:rPr>
        <w:t xml:space="preserve">as </w:t>
      </w:r>
      <w:r w:rsidRPr="00364977">
        <w:rPr>
          <w:rFonts w:ascii="Times New Roman" w:hAnsi="Times New Roman" w:cs="Times New Roman"/>
        </w:rPr>
        <w:t>ffet, l’évolution de la dépense publique primaire (</w:t>
      </w:r>
      <w:r w:rsidRPr="00364977">
        <w:rPr>
          <w:rFonts w:ascii="Times New Roman" w:eastAsia="Calibri" w:hAnsi="Times New Roman" w:cs="Times New Roman"/>
          <w:b/>
        </w:rPr>
        <w:t>indicateur 16.6.1</w:t>
      </w:r>
      <w:r w:rsidRPr="00364977">
        <w:rPr>
          <w:rFonts w:ascii="Times New Roman" w:hAnsi="Times New Roman" w:cs="Times New Roman"/>
        </w:rPr>
        <w:t>) confirme l’amélioration amorcée en 2015 (87,2% d’exécution contre 68,3% en 2014) sur les exercices 2016 (88,2% d’exécution) et 2017 (89,7% d’exécution)</w:t>
      </w:r>
      <w:r w:rsidRPr="00364977">
        <w:rPr>
          <w:rStyle w:val="Appelnotedebasdep"/>
          <w:rFonts w:ascii="Times New Roman" w:hAnsi="Times New Roman" w:cs="Times New Roman"/>
        </w:rPr>
        <w:footnoteReference w:id="86"/>
      </w:r>
      <w:r w:rsidRPr="00364977">
        <w:rPr>
          <w:rFonts w:ascii="Times New Roman" w:hAnsi="Times New Roman" w:cs="Times New Roman"/>
        </w:rPr>
        <w:t>.</w:t>
      </w:r>
    </w:p>
    <w:p w14:paraId="4AEF5AAF" w14:textId="77777777" w:rsidR="0028280C" w:rsidRPr="00645F24" w:rsidRDefault="0028280C" w:rsidP="0028280C">
      <w:pPr>
        <w:spacing w:after="236"/>
        <w:ind w:left="-5" w:right="122"/>
        <w:jc w:val="both"/>
        <w:rPr>
          <w:rFonts w:ascii="Times New Roman" w:hAnsi="Times New Roman" w:cs="Times New Roman"/>
        </w:rPr>
      </w:pPr>
      <w:r w:rsidRPr="00427A45">
        <w:rPr>
          <w:rFonts w:ascii="Times New Roman" w:eastAsia="Calibri" w:hAnsi="Times New Roman" w:cs="Times New Roman"/>
          <w:b/>
        </w:rPr>
        <w:t>ODD 16</w:t>
      </w:r>
      <w:r>
        <w:rPr>
          <w:rFonts w:ascii="Times New Roman" w:eastAsia="Calibri" w:hAnsi="Times New Roman" w:cs="Times New Roman"/>
        </w:rPr>
        <w:t xml:space="preserve"> : </w:t>
      </w:r>
      <w:r w:rsidRPr="00645F24">
        <w:rPr>
          <w:rFonts w:ascii="Times New Roman" w:hAnsi="Times New Roman" w:cs="Times New Roman"/>
          <w:b/>
          <w:i/>
        </w:rPr>
        <w:t>La p</w:t>
      </w:r>
      <w:r w:rsidRPr="00645F24">
        <w:rPr>
          <w:rFonts w:ascii="Times New Roman" w:eastAsia="Calibri" w:hAnsi="Times New Roman" w:cs="Times New Roman"/>
          <w:b/>
          <w:i/>
        </w:rPr>
        <w:t>roportion de la population dont la dernière expérience avec les services publics</w:t>
      </w:r>
      <w:r>
        <w:rPr>
          <w:rFonts w:ascii="Times New Roman" w:eastAsia="Calibri" w:hAnsi="Times New Roman" w:cs="Times New Roman"/>
          <w:b/>
          <w:i/>
        </w:rPr>
        <w:t xml:space="preserve"> </w:t>
      </w:r>
      <w:r w:rsidRPr="008A24B8">
        <w:rPr>
          <w:rFonts w:ascii="Times New Roman" w:eastAsia="Calibri" w:hAnsi="Times New Roman" w:cs="Times New Roman"/>
          <w:b/>
          <w:i/>
        </w:rPr>
        <w:t>a été satisfaisante</w:t>
      </w:r>
      <w:r>
        <w:rPr>
          <w:rFonts w:ascii="Times New Roman" w:eastAsia="Calibri" w:hAnsi="Times New Roman" w:cs="Times New Roman"/>
        </w:rPr>
        <w:t xml:space="preserve"> </w:t>
      </w:r>
      <w:r>
        <w:rPr>
          <w:rFonts w:ascii="Times New Roman" w:eastAsia="Calibri" w:hAnsi="Times New Roman" w:cs="Times New Roman"/>
          <w:b/>
          <w:i/>
        </w:rPr>
        <w:t>(16.6.2)</w:t>
      </w:r>
      <w:r w:rsidRPr="00645F24">
        <w:rPr>
          <w:rFonts w:ascii="Times New Roman" w:eastAsia="Calibri" w:hAnsi="Times New Roman" w:cs="Times New Roman"/>
        </w:rPr>
        <w:t xml:space="preserve"> a connu une augmentation notable</w:t>
      </w:r>
      <w:r>
        <w:rPr>
          <w:rFonts w:ascii="Times New Roman" w:eastAsia="Calibri" w:hAnsi="Times New Roman" w:cs="Times New Roman"/>
        </w:rPr>
        <w:t>.</w:t>
      </w:r>
      <w:r w:rsidRPr="00645F24">
        <w:rPr>
          <w:rFonts w:ascii="Times New Roman" w:eastAsia="Calibri" w:hAnsi="Times New Roman" w:cs="Times New Roman"/>
          <w:b/>
        </w:rPr>
        <w:t xml:space="preserve"> </w:t>
      </w:r>
      <w:r w:rsidRPr="00645F24">
        <w:rPr>
          <w:rFonts w:ascii="Times New Roman" w:eastAsia="Calibri" w:hAnsi="Times New Roman" w:cs="Times New Roman"/>
        </w:rPr>
        <w:t>Les résultats de l’ENISED indiquent que</w:t>
      </w:r>
      <w:r w:rsidRPr="00645F24">
        <w:rPr>
          <w:rFonts w:ascii="Times New Roman" w:eastAsia="Calibri" w:hAnsi="Times New Roman" w:cs="Times New Roman"/>
          <w:b/>
        </w:rPr>
        <w:t xml:space="preserve"> </w:t>
      </w:r>
      <w:r w:rsidRPr="00645F24">
        <w:rPr>
          <w:rFonts w:ascii="Times New Roman" w:hAnsi="Times New Roman" w:cs="Times New Roman"/>
        </w:rPr>
        <w:t xml:space="preserve">79,45% de nigériens sont satisfaits de leur dernière expérience avec les services publics (avec des disparités selon le sexe : 80,15% des femmes sont satisfaites, contre 76,2% des hommes). S’agissant de l’éducation, 72,4% de la population nationale est satisfaite des services d’éducation (disparités régionales : 76,4% à Tahoua, contre 57,4% à Tillabéry). En ce qui concerne la situation sécuritaire, 81% de la population nationale se déclare satisfaite. </w:t>
      </w:r>
    </w:p>
    <w:p w14:paraId="5B76D6B8" w14:textId="77777777" w:rsidR="0028280C" w:rsidRPr="00854481" w:rsidRDefault="0028280C" w:rsidP="0028280C">
      <w:pPr>
        <w:jc w:val="both"/>
        <w:rPr>
          <w:rFonts w:ascii="Times New Roman" w:hAnsi="Times New Roman" w:cs="Times New Roman"/>
        </w:rPr>
      </w:pPr>
      <w:r w:rsidRPr="00427A45">
        <w:rPr>
          <w:rFonts w:ascii="Times New Roman" w:eastAsia="Calibri" w:hAnsi="Times New Roman" w:cs="Times New Roman"/>
          <w:b/>
        </w:rPr>
        <w:t>ODD 16</w:t>
      </w:r>
      <w:r>
        <w:rPr>
          <w:rFonts w:ascii="Times New Roman" w:eastAsia="Calibri" w:hAnsi="Times New Roman" w:cs="Times New Roman"/>
        </w:rPr>
        <w:t xml:space="preserve"> : </w:t>
      </w:r>
      <w:r w:rsidRPr="00854481">
        <w:rPr>
          <w:rFonts w:ascii="Times New Roman" w:hAnsi="Times New Roman" w:cs="Times New Roman"/>
          <w:b/>
          <w:i/>
        </w:rPr>
        <w:t xml:space="preserve">La proportion d’enfants de moins de 5 ans ayant été enregistrée par une autorité d’état civil, par âge </w:t>
      </w:r>
      <w:r>
        <w:rPr>
          <w:rFonts w:ascii="Times New Roman" w:hAnsi="Times New Roman" w:cs="Times New Roman"/>
          <w:b/>
          <w:i/>
        </w:rPr>
        <w:t>(</w:t>
      </w:r>
      <w:r w:rsidRPr="00854481">
        <w:rPr>
          <w:rFonts w:ascii="Times New Roman" w:hAnsi="Times New Roman" w:cs="Times New Roman"/>
          <w:b/>
          <w:bCs/>
          <w:i/>
        </w:rPr>
        <w:t>Indicateur 16.9.1</w:t>
      </w:r>
      <w:r w:rsidRPr="00854481">
        <w:rPr>
          <w:rFonts w:ascii="Times New Roman" w:hAnsi="Times New Roman" w:cs="Times New Roman"/>
          <w:b/>
          <w:i/>
        </w:rPr>
        <w:t>)</w:t>
      </w:r>
      <w:r>
        <w:t xml:space="preserve"> </w:t>
      </w:r>
      <w:r w:rsidRPr="00854481">
        <w:rPr>
          <w:rFonts w:ascii="Times New Roman" w:hAnsi="Times New Roman" w:cs="Times New Roman"/>
        </w:rPr>
        <w:t xml:space="preserve">est estimée à 57,7%. Parmi les enfants de moins de cinq (5) ans enregistrés, il y a 40% qui disposent de leur acte de naissance et 17,7% sans acte de naissance. D’importantes disparités sont observées en matière d’enregistrement des enfants de moins de cinq (5) ans selon le milieu de résidence. En milieu urbain 85,7% des enfants de moins de cinq (5) ans sont enregistrés contre 53,1% en milieu rural. </w:t>
      </w:r>
    </w:p>
    <w:p w14:paraId="7918474D" w14:textId="77777777" w:rsidR="0028280C" w:rsidRDefault="0028280C" w:rsidP="0028280C">
      <w:pPr>
        <w:framePr w:wrap="around" w:vAnchor="text" w:hAnchor="margin" w:y="841"/>
        <w:spacing w:after="40"/>
        <w:suppressOverlap/>
      </w:pPr>
      <w:r>
        <w:t xml:space="preserve"> </w:t>
      </w:r>
    </w:p>
    <w:p w14:paraId="33745BD8" w14:textId="77777777" w:rsidR="0028280C" w:rsidRPr="00854481" w:rsidRDefault="0028280C" w:rsidP="0028280C">
      <w:pPr>
        <w:jc w:val="both"/>
        <w:rPr>
          <w:rFonts w:ascii="Times New Roman" w:hAnsi="Times New Roman" w:cs="Times New Roman"/>
          <w:sz w:val="28"/>
          <w:szCs w:val="28"/>
        </w:rPr>
      </w:pPr>
      <w:r w:rsidRPr="00427A45">
        <w:rPr>
          <w:rFonts w:ascii="Times New Roman" w:eastAsia="Calibri" w:hAnsi="Times New Roman" w:cs="Times New Roman"/>
          <w:b/>
        </w:rPr>
        <w:t>ODD 16</w:t>
      </w:r>
      <w:r>
        <w:rPr>
          <w:rFonts w:ascii="Times New Roman" w:eastAsia="Calibri" w:hAnsi="Times New Roman" w:cs="Times New Roman"/>
        </w:rPr>
        <w:t xml:space="preserve"> : </w:t>
      </w:r>
      <w:r w:rsidRPr="00854481">
        <w:rPr>
          <w:rFonts w:ascii="Times New Roman" w:hAnsi="Times New Roman" w:cs="Times New Roman"/>
          <w:b/>
          <w:i/>
        </w:rPr>
        <w:t>L’existence d’institutions nationales indépendantes des droit</w:t>
      </w:r>
      <w:r>
        <w:rPr>
          <w:rFonts w:ascii="Times New Roman" w:hAnsi="Times New Roman" w:cs="Times New Roman"/>
          <w:b/>
          <w:i/>
        </w:rPr>
        <w:t>s de l’homme, conformément aux p</w:t>
      </w:r>
      <w:r w:rsidRPr="00854481">
        <w:rPr>
          <w:rFonts w:ascii="Times New Roman" w:hAnsi="Times New Roman" w:cs="Times New Roman"/>
          <w:b/>
          <w:i/>
        </w:rPr>
        <w:t>rincipes de Paris</w:t>
      </w:r>
      <w:r>
        <w:rPr>
          <w:rFonts w:ascii="Times New Roman" w:hAnsi="Times New Roman" w:cs="Times New Roman"/>
          <w:b/>
          <w:i/>
          <w:sz w:val="28"/>
          <w:szCs w:val="28"/>
        </w:rPr>
        <w:t xml:space="preserve"> </w:t>
      </w:r>
      <w:r>
        <w:rPr>
          <w:rFonts w:ascii="Times New Roman" w:hAnsi="Times New Roman" w:cs="Times New Roman"/>
          <w:b/>
          <w:i/>
        </w:rPr>
        <w:t>(</w:t>
      </w:r>
      <w:r w:rsidRPr="00854481">
        <w:rPr>
          <w:rFonts w:ascii="Times New Roman" w:hAnsi="Times New Roman" w:cs="Times New Roman"/>
          <w:b/>
          <w:bCs/>
          <w:i/>
        </w:rPr>
        <w:t>Indicateur 16.a.1)</w:t>
      </w:r>
      <w:r w:rsidRPr="007C76D0">
        <w:t xml:space="preserve"> </w:t>
      </w:r>
      <w:r w:rsidRPr="00854481">
        <w:rPr>
          <w:rFonts w:ascii="Times New Roman" w:hAnsi="Times New Roman" w:cs="Times New Roman"/>
        </w:rPr>
        <w:t xml:space="preserve">s’est améliorée au cours des dix dernières années grâce à la création de plusieurs institutions nationales indépendantes des droits de l’homme notamment la Commission Nationale des Droits humains qui produit annuellement, le rapport sur l’état des droits humains et tient régulièrement ses sessions. </w:t>
      </w:r>
    </w:p>
    <w:p w14:paraId="11F44583" w14:textId="77777777" w:rsidR="0028280C" w:rsidRDefault="0028280C" w:rsidP="0028280C">
      <w:pPr>
        <w:jc w:val="both"/>
        <w:rPr>
          <w:rFonts w:ascii="Times New Roman" w:hAnsi="Times New Roman" w:cs="Times New Roman"/>
        </w:rPr>
      </w:pPr>
      <w:r w:rsidRPr="00427A45">
        <w:rPr>
          <w:rFonts w:ascii="Times New Roman" w:eastAsia="Calibri" w:hAnsi="Times New Roman" w:cs="Times New Roman"/>
          <w:b/>
        </w:rPr>
        <w:t>ODD 16</w:t>
      </w:r>
      <w:r>
        <w:rPr>
          <w:rFonts w:ascii="Times New Roman" w:eastAsia="Calibri" w:hAnsi="Times New Roman" w:cs="Times New Roman"/>
        </w:rPr>
        <w:t xml:space="preserve"> : </w:t>
      </w:r>
      <w:r w:rsidRPr="00D52200">
        <w:rPr>
          <w:rFonts w:ascii="Times New Roman" w:hAnsi="Times New Roman" w:cs="Times New Roman"/>
          <w:b/>
          <w:i/>
        </w:rPr>
        <w:t>La Proportion de la population ayant déclaré avoir personnellement fait l’objet de discrimination ou de harcèlement au cours des 12 mois précédents pour des motifs interdits par le droit international des droits de l’homme (</w:t>
      </w:r>
      <w:r w:rsidRPr="00D52200">
        <w:rPr>
          <w:rFonts w:ascii="Times New Roman" w:hAnsi="Times New Roman" w:cs="Times New Roman"/>
          <w:b/>
          <w:bCs/>
          <w:i/>
        </w:rPr>
        <w:t>Indicateur 16.b</w:t>
      </w:r>
      <w:r>
        <w:rPr>
          <w:rFonts w:ascii="Times New Roman" w:hAnsi="Times New Roman" w:cs="Times New Roman"/>
          <w:b/>
          <w:bCs/>
          <w:i/>
        </w:rPr>
        <w:t>.</w:t>
      </w:r>
      <w:r w:rsidRPr="00D52200">
        <w:rPr>
          <w:rFonts w:ascii="Times New Roman" w:hAnsi="Times New Roman" w:cs="Times New Roman"/>
          <w:b/>
          <w:bCs/>
          <w:i/>
        </w:rPr>
        <w:t>1</w:t>
      </w:r>
      <w:r w:rsidRPr="00D52200">
        <w:rPr>
          <w:rFonts w:ascii="Times New Roman" w:hAnsi="Times New Roman" w:cs="Times New Roman"/>
          <w:b/>
          <w:i/>
        </w:rPr>
        <w:t>)</w:t>
      </w:r>
      <w:r>
        <w:t xml:space="preserve"> </w:t>
      </w:r>
      <w:r>
        <w:rPr>
          <w:rFonts w:ascii="Times New Roman" w:hAnsi="Times New Roman" w:cs="Times New Roman"/>
        </w:rPr>
        <w:t xml:space="preserve">est restée faible </w:t>
      </w:r>
      <w:r w:rsidRPr="00D52200">
        <w:rPr>
          <w:rFonts w:ascii="Times New Roman" w:hAnsi="Times New Roman" w:cs="Times New Roman"/>
        </w:rPr>
        <w:t>grâce à la promulgation d’une diversité de textes de lois et de documents de politiques qui conformément aux dispositions de la Constitution sont non discriminatoires par essence. Toutefois, il est prévu de procéder à des enquêtes régulières pour enregistrer la perception et les plaintes des populations en tenant compte aux mesures discriminatoires dont elles sont victimes.</w:t>
      </w:r>
      <w:r>
        <w:rPr>
          <w:rFonts w:ascii="Times New Roman" w:hAnsi="Times New Roman" w:cs="Times New Roman"/>
        </w:rPr>
        <w:t xml:space="preserve"> </w:t>
      </w:r>
    </w:p>
    <w:p w14:paraId="631B7679" w14:textId="77777777" w:rsidR="0028280C" w:rsidRPr="00670794" w:rsidRDefault="0028280C" w:rsidP="0028280C">
      <w:pPr>
        <w:jc w:val="both"/>
        <w:rPr>
          <w:rFonts w:ascii="Times New Roman" w:hAnsi="Times New Roman" w:cs="Times New Roman"/>
        </w:rPr>
      </w:pPr>
      <w:r w:rsidRPr="008A24B8">
        <w:rPr>
          <w:rFonts w:ascii="Times New Roman" w:hAnsi="Times New Roman" w:cs="Times New Roman"/>
        </w:rPr>
        <w:lastRenderedPageBreak/>
        <w:t>En 2017, 17,4% des nigériens déclarent avoir personnellement fait l’objet de discrimination ou de harcèlement au cours des 12 mois</w:t>
      </w:r>
      <w:r w:rsidRPr="008A24B8">
        <w:rPr>
          <w:rStyle w:val="Appelnotedebasdep"/>
          <w:rFonts w:ascii="Times New Roman" w:hAnsi="Times New Roman" w:cs="Times New Roman"/>
        </w:rPr>
        <w:footnoteReference w:id="87"/>
      </w:r>
      <w:r w:rsidRPr="008A24B8">
        <w:rPr>
          <w:rFonts w:ascii="Times New Roman" w:hAnsi="Times New Roman" w:cs="Times New Roman"/>
        </w:rPr>
        <w:t xml:space="preserve">. Ce taux atteint 18,5% chez les hommes et 16,5% chez les femmes. Le faible niveau de </w:t>
      </w:r>
      <w:r w:rsidRPr="008A24B8">
        <w:rPr>
          <w:rFonts w:ascii="Times New Roman" w:eastAsia="Calibri" w:hAnsi="Times New Roman" w:cs="Times New Roman"/>
        </w:rPr>
        <w:t>cet indicateur</w:t>
      </w:r>
      <w:r w:rsidRPr="008A24B8">
        <w:rPr>
          <w:rFonts w:ascii="Times New Roman" w:hAnsi="Times New Roman" w:cs="Times New Roman"/>
        </w:rPr>
        <w:t xml:space="preserve"> signale la relative efficacité de la promotion et de l’application des politiques non discriminatoires en place, bien que des efforts supplémentaires restent nécessaires. </w:t>
      </w:r>
    </w:p>
    <w:p w14:paraId="2F9CEF87" w14:textId="77777777" w:rsidR="0028280C" w:rsidRPr="00364977" w:rsidRDefault="0028280C" w:rsidP="0028280C">
      <w:pPr>
        <w:spacing w:after="243" w:line="269" w:lineRule="auto"/>
        <w:ind w:left="-5" w:right="125"/>
        <w:jc w:val="both"/>
        <w:rPr>
          <w:rFonts w:ascii="Times New Roman" w:hAnsi="Times New Roman" w:cs="Times New Roman"/>
        </w:rPr>
      </w:pPr>
      <w:r w:rsidRPr="00427A45">
        <w:rPr>
          <w:rFonts w:ascii="Times New Roman" w:eastAsia="Calibri" w:hAnsi="Times New Roman" w:cs="Times New Roman"/>
          <w:b/>
        </w:rPr>
        <w:t>ODD 16</w:t>
      </w:r>
      <w:r>
        <w:rPr>
          <w:rFonts w:ascii="Times New Roman" w:eastAsia="Calibri" w:hAnsi="Times New Roman" w:cs="Times New Roman"/>
        </w:rPr>
        <w:t xml:space="preserve"> : </w:t>
      </w:r>
      <w:r w:rsidRPr="008250ED">
        <w:rPr>
          <w:rFonts w:ascii="Times New Roman" w:eastAsia="Calibri" w:hAnsi="Times New Roman" w:cs="Times New Roman"/>
          <w:b/>
          <w:i/>
        </w:rPr>
        <w:t>Les progrès vers l’atteinte de la Cible 16.9 «  D’ici à 2030, garantir à tous une identité juridique, notamment grâce à l’enregistrement des naissances</w:t>
      </w:r>
      <w:r>
        <w:rPr>
          <w:rFonts w:ascii="Times New Roman" w:eastAsia="Calibri" w:hAnsi="Times New Roman" w:cs="Times New Roman"/>
          <w:b/>
          <w:i/>
        </w:rPr>
        <w:t>» sont encourageants</w:t>
      </w:r>
      <w:r w:rsidRPr="008250ED">
        <w:rPr>
          <w:rFonts w:ascii="Times New Roman" w:eastAsia="Calibri" w:hAnsi="Times New Roman" w:cs="Times New Roman"/>
          <w:b/>
          <w:i/>
        </w:rPr>
        <w:t>.</w:t>
      </w:r>
      <w:r>
        <w:rPr>
          <w:rFonts w:ascii="Times New Roman" w:eastAsia="Calibri" w:hAnsi="Times New Roman" w:cs="Times New Roman"/>
          <w:b/>
        </w:rPr>
        <w:t xml:space="preserve"> </w:t>
      </w:r>
      <w:r w:rsidRPr="008250ED">
        <w:rPr>
          <w:rFonts w:ascii="Times New Roman" w:eastAsia="Calibri" w:hAnsi="Times New Roman" w:cs="Times New Roman"/>
        </w:rPr>
        <w:t>L</w:t>
      </w:r>
      <w:r w:rsidRPr="008250ED">
        <w:rPr>
          <w:rFonts w:ascii="Times New Roman" w:hAnsi="Times New Roman" w:cs="Times New Roman"/>
        </w:rPr>
        <w:t>’évolution du taux d’enregistrement des enfants de moins de cinq (5) ans à l’état civil, qui a doublé entre 2006 et 2012</w:t>
      </w:r>
      <w:r>
        <w:rPr>
          <w:rFonts w:ascii="Times New Roman" w:hAnsi="Times New Roman" w:cs="Times New Roman"/>
        </w:rPr>
        <w:t>,</w:t>
      </w:r>
      <w:r w:rsidRPr="008250ED">
        <w:rPr>
          <w:rFonts w:ascii="Times New Roman" w:hAnsi="Times New Roman" w:cs="Times New Roman"/>
        </w:rPr>
        <w:t xml:space="preserve"> laisse entrevoir des perspectives encourageantes en raison </w:t>
      </w:r>
      <w:r>
        <w:rPr>
          <w:rFonts w:ascii="Times New Roman" w:hAnsi="Times New Roman" w:cs="Times New Roman"/>
        </w:rPr>
        <w:t xml:space="preserve">des mesures correctives </w:t>
      </w:r>
      <w:r w:rsidRPr="008250ED">
        <w:rPr>
          <w:rFonts w:ascii="Times New Roman" w:hAnsi="Times New Roman" w:cs="Times New Roman"/>
        </w:rPr>
        <w:t xml:space="preserve">déjà envisagées </w:t>
      </w:r>
      <w:r>
        <w:rPr>
          <w:rFonts w:ascii="Times New Roman" w:hAnsi="Times New Roman" w:cs="Times New Roman"/>
        </w:rPr>
        <w:t xml:space="preserve">par les pouvoirs publics </w:t>
      </w:r>
      <w:r w:rsidRPr="008250ED">
        <w:rPr>
          <w:rFonts w:ascii="Times New Roman" w:hAnsi="Times New Roman" w:cs="Times New Roman"/>
        </w:rPr>
        <w:t>pour relever les défis identifiés</w:t>
      </w:r>
      <w:r>
        <w:rPr>
          <w:rFonts w:ascii="Times New Roman" w:hAnsi="Times New Roman" w:cs="Times New Roman"/>
        </w:rPr>
        <w:t xml:space="preserve">. </w:t>
      </w:r>
      <w:r w:rsidRPr="008250ED">
        <w:rPr>
          <w:rFonts w:ascii="Times New Roman" w:hAnsi="Times New Roman" w:cs="Times New Roman"/>
        </w:rPr>
        <w:t xml:space="preserve">Dans le cadre des audiences foraines, 6 000 904 actes de naissance, </w:t>
      </w:r>
      <w:r w:rsidRPr="00364977">
        <w:rPr>
          <w:rFonts w:ascii="Times New Roman" w:hAnsi="Times New Roman" w:cs="Times New Roman"/>
        </w:rPr>
        <w:t xml:space="preserve">65 907 actes de mariages et 45 680 actes de décès ont été délivrés dans différentes localités. </w:t>
      </w:r>
    </w:p>
    <w:p w14:paraId="329DD347" w14:textId="33EDD22E" w:rsidR="0028280C" w:rsidRPr="00364977" w:rsidRDefault="0028280C" w:rsidP="0028280C">
      <w:pPr>
        <w:ind w:left="-5" w:right="122"/>
        <w:jc w:val="both"/>
        <w:rPr>
          <w:rFonts w:ascii="Times New Roman" w:hAnsi="Times New Roman" w:cs="Times New Roman"/>
        </w:rPr>
      </w:pPr>
      <w:r w:rsidRPr="00364977">
        <w:rPr>
          <w:rFonts w:ascii="Times New Roman" w:eastAsia="Calibri" w:hAnsi="Times New Roman" w:cs="Times New Roman"/>
          <w:b/>
        </w:rPr>
        <w:t>ODD 16</w:t>
      </w:r>
      <w:r w:rsidRPr="00364977">
        <w:rPr>
          <w:rFonts w:ascii="Times New Roman" w:eastAsia="Calibri" w:hAnsi="Times New Roman" w:cs="Times New Roman"/>
        </w:rPr>
        <w:t xml:space="preserve"> : </w:t>
      </w:r>
      <w:r w:rsidRPr="00364977">
        <w:rPr>
          <w:rFonts w:ascii="Times New Roman" w:eastAsia="Calibri" w:hAnsi="Times New Roman" w:cs="Times New Roman"/>
          <w:b/>
          <w:i/>
        </w:rPr>
        <w:t>La Proportion d’enfants de moins de 5 ans ayant été enregistrés par une autorité d’état civil, par âge (Indicateur 16.9.1)</w:t>
      </w:r>
      <w:r w:rsidRPr="00364977">
        <w:rPr>
          <w:rFonts w:ascii="Calibri" w:eastAsia="Calibri" w:hAnsi="Calibri" w:cs="Calibri"/>
          <w:b/>
        </w:rPr>
        <w:t xml:space="preserve"> </w:t>
      </w:r>
      <w:r w:rsidRPr="00364977">
        <w:rPr>
          <w:rFonts w:ascii="Times New Roman" w:hAnsi="Times New Roman" w:cs="Times New Roman"/>
          <w:bCs/>
        </w:rPr>
        <w:t>ne peut être appréciée pour la période 2017 - 2021 en raison de l’absence de</w:t>
      </w:r>
      <w:r w:rsidRPr="00364977">
        <w:rPr>
          <w:rFonts w:ascii="Times New Roman" w:hAnsi="Times New Roman" w:cs="Times New Roman"/>
        </w:rPr>
        <w:t xml:space="preserve"> données récentes. </w:t>
      </w:r>
      <w:r w:rsidR="00364977" w:rsidRPr="00364977">
        <w:rPr>
          <w:rFonts w:ascii="Times New Roman" w:hAnsi="Times New Roman" w:cs="Times New Roman"/>
        </w:rPr>
        <w:t>Toutefois, l</w:t>
      </w:r>
      <w:r w:rsidRPr="00364977">
        <w:rPr>
          <w:rFonts w:ascii="Times New Roman" w:hAnsi="Times New Roman" w:cs="Times New Roman"/>
        </w:rPr>
        <w:t>es données disponibles en 2012 indiquent que la proportion des enfants de moins de cinq (5) ans enregistrés à l’état civil est passée de 31,8% en 2006 (</w:t>
      </w:r>
      <w:r w:rsidRPr="00364977">
        <w:rPr>
          <w:rFonts w:ascii="Times New Roman" w:eastAsia="Calibri" w:hAnsi="Times New Roman" w:cs="Times New Roman"/>
          <w:i/>
        </w:rPr>
        <w:t>EDSN 2006</w:t>
      </w:r>
      <w:r w:rsidRPr="00364977">
        <w:rPr>
          <w:rFonts w:ascii="Times New Roman" w:hAnsi="Times New Roman" w:cs="Times New Roman"/>
        </w:rPr>
        <w:t>) à 63,9% en 2012 (</w:t>
      </w:r>
      <w:r w:rsidRPr="00364977">
        <w:rPr>
          <w:rFonts w:ascii="Times New Roman" w:eastAsia="Calibri" w:hAnsi="Times New Roman" w:cs="Times New Roman"/>
          <w:i/>
        </w:rPr>
        <w:t>EDSN, 2012</w:t>
      </w:r>
      <w:r w:rsidRPr="00364977">
        <w:rPr>
          <w:rFonts w:ascii="Times New Roman" w:hAnsi="Times New Roman" w:cs="Times New Roman"/>
        </w:rPr>
        <w:t xml:space="preserve">). </w:t>
      </w:r>
    </w:p>
    <w:p w14:paraId="6BBF1E56" w14:textId="77777777" w:rsidR="0028280C" w:rsidRPr="00E25B1F" w:rsidRDefault="0028280C" w:rsidP="00E25B1F">
      <w:pPr>
        <w:pStyle w:val="Titre2"/>
        <w:rPr>
          <w:rFonts w:ascii="Bernard MT Condensed" w:hAnsi="Bernard MT Condensed"/>
          <w:sz w:val="24"/>
          <w:szCs w:val="24"/>
        </w:rPr>
      </w:pPr>
      <w:bookmarkStart w:id="322" w:name="_Toc84789682"/>
      <w:bookmarkStart w:id="323" w:name="_Toc86687753"/>
      <w:bookmarkStart w:id="324" w:name="_Toc89479435"/>
      <w:bookmarkStart w:id="325" w:name="_Toc89480933"/>
      <w:bookmarkStart w:id="326" w:name="_Toc94480175"/>
      <w:bookmarkStart w:id="327" w:name="_Toc94481836"/>
      <w:bookmarkStart w:id="328" w:name="_Toc94482099"/>
      <w:r w:rsidRPr="00E25B1F">
        <w:rPr>
          <w:rFonts w:ascii="Bernard MT Condensed" w:hAnsi="Bernard MT Condensed"/>
          <w:sz w:val="24"/>
          <w:szCs w:val="24"/>
        </w:rPr>
        <w:t>III.2 - Capital humain</w:t>
      </w:r>
      <w:bookmarkEnd w:id="322"/>
      <w:bookmarkEnd w:id="323"/>
      <w:bookmarkEnd w:id="324"/>
      <w:bookmarkEnd w:id="325"/>
      <w:bookmarkEnd w:id="326"/>
      <w:bookmarkEnd w:id="327"/>
      <w:bookmarkEnd w:id="328"/>
    </w:p>
    <w:p w14:paraId="1DFBB764" w14:textId="77777777" w:rsidR="0028280C" w:rsidRPr="00C85231" w:rsidRDefault="0028280C" w:rsidP="0028280C">
      <w:pPr>
        <w:spacing w:line="240" w:lineRule="auto"/>
        <w:jc w:val="both"/>
        <w:rPr>
          <w:rFonts w:ascii="Times New Roman" w:hAnsi="Times New Roman" w:cs="Times New Roman"/>
          <w:b/>
          <w:color w:val="000000"/>
        </w:rPr>
      </w:pPr>
      <w:r w:rsidRPr="00C85231">
        <w:rPr>
          <w:rFonts w:ascii="Times New Roman" w:hAnsi="Times New Roman" w:cs="Times New Roman"/>
          <w:color w:val="000000" w:themeColor="text1"/>
        </w:rPr>
        <w:t>Le Rapport sur l’Indice et les Tableaux de Bord des ODD pour l’Afrique 2019</w:t>
      </w:r>
      <w:r w:rsidRPr="00C85231">
        <w:rPr>
          <w:rStyle w:val="Appelnotedebasdep"/>
          <w:rFonts w:ascii="Times New Roman" w:hAnsi="Times New Roman" w:cs="Times New Roman"/>
        </w:rPr>
        <w:footnoteReference w:id="88"/>
      </w:r>
      <w:r w:rsidRPr="00C85231">
        <w:rPr>
          <w:rFonts w:ascii="Times New Roman" w:hAnsi="Times New Roman" w:cs="Times New Roman"/>
        </w:rPr>
        <w:t xml:space="preserve"> a permis de classer 52 pays africains sur la base de 97 indicateurs pour les 17 objectifs. Les Seychelles et la Libye sont exclues en raison d’une couverture insuffisante des données. Le score de l’Indice des ODD indique la position d’un pays entre le pire (0) et le meilleur (100) résultat. Cette année l’Île Maurice a obtenu le meilleur classement avec 66,19 points, ce qui signifie que le pays est à 66% des objectifs d’atteinte des ODD, selon la méthodologie utilisée. </w:t>
      </w:r>
      <w:r w:rsidRPr="00C85231">
        <w:rPr>
          <w:rFonts w:ascii="Times New Roman" w:hAnsi="Times New Roman" w:cs="Times New Roman"/>
          <w:b/>
        </w:rPr>
        <w:t>Classé à la 33</w:t>
      </w:r>
      <w:r w:rsidRPr="00C85231">
        <w:rPr>
          <w:rFonts w:ascii="Times New Roman" w:hAnsi="Times New Roman" w:cs="Times New Roman"/>
          <w:b/>
          <w:vertAlign w:val="superscript"/>
        </w:rPr>
        <w:t>ième</w:t>
      </w:r>
      <w:r w:rsidRPr="00C85231">
        <w:rPr>
          <w:rFonts w:ascii="Times New Roman" w:hAnsi="Times New Roman" w:cs="Times New Roman"/>
          <w:b/>
        </w:rPr>
        <w:t xml:space="preserve"> place avec 50,33% points, le Niger semble être à mi-chemin de l’atteinte des ODD.</w:t>
      </w:r>
    </w:p>
    <w:p w14:paraId="5CB72B67" w14:textId="77777777" w:rsidR="0028280C" w:rsidRPr="00C85231" w:rsidRDefault="0028280C" w:rsidP="0028280C">
      <w:pPr>
        <w:spacing w:line="240" w:lineRule="auto"/>
        <w:jc w:val="both"/>
        <w:rPr>
          <w:rFonts w:ascii="Times New Roman" w:hAnsi="Times New Roman" w:cs="Times New Roman"/>
          <w:color w:val="000000"/>
        </w:rPr>
      </w:pPr>
      <w:r w:rsidRPr="00C85231">
        <w:rPr>
          <w:rFonts w:ascii="Times New Roman" w:hAnsi="Times New Roman" w:cs="Times New Roman"/>
          <w:color w:val="000000"/>
        </w:rPr>
        <w:t>La Revue Nationale Volontaire (RNV) offre l’opportunité au pays de réaffirmer son engagement dans la mise en œuvre de cet Agenda 2030 des Nations Unies. Le Niger a mis la priorité sur les ODD cibles : 1,2, 3, 4, 5,6, 8 et les avancées obtenues sont analysées ci-après.</w:t>
      </w:r>
    </w:p>
    <w:p w14:paraId="7A08F178" w14:textId="77777777" w:rsidR="0028280C" w:rsidRPr="00C85231" w:rsidRDefault="0028280C" w:rsidP="0028280C">
      <w:pPr>
        <w:spacing w:line="240" w:lineRule="auto"/>
        <w:jc w:val="both"/>
        <w:rPr>
          <w:rFonts w:ascii="Times New Roman" w:hAnsi="Times New Roman" w:cs="Times New Roman"/>
        </w:rPr>
      </w:pPr>
      <w:r w:rsidRPr="00C85231">
        <w:rPr>
          <w:rFonts w:ascii="Times New Roman" w:hAnsi="Times New Roman" w:cs="Times New Roman"/>
          <w:b/>
        </w:rPr>
        <w:t xml:space="preserve">ODD1. Éliminer la pauvreté sous toutes ses formes et partout dans le monde : </w:t>
      </w:r>
      <w:r w:rsidRPr="00C85231">
        <w:rPr>
          <w:rFonts w:ascii="Times New Roman" w:hAnsi="Times New Roman" w:cs="Times New Roman"/>
        </w:rPr>
        <w:t>La proportion de la population vivant en dessous du seuil national de pauvreté, est passée de 45,4% en 2014 à 40,8% en 2019, soit une baisse de 4,6 points de pourcentage. Elle a été beaucoup plus sensible en milieu rural où elle est passée de 52,4% en 2014 à 46,8% en 2019. Cependant, le nombre de pauvres s’est accru sur la période, passant de 8.494.944 en 2014 à 8.933.012 en 2019. La pauvreté pourrait s’aggraver avec la pandémie de la COVID-19 notamment la perte d’emploi estimée à 4,3% et environ 1 million de personnes supplémentaires en insécurité alimentaire.</w:t>
      </w:r>
    </w:p>
    <w:p w14:paraId="27EFA3B4" w14:textId="1CAA1053" w:rsidR="00832A6D" w:rsidRPr="00832A6D" w:rsidRDefault="0028280C" w:rsidP="00832A6D">
      <w:pPr>
        <w:spacing w:before="120" w:after="120" w:line="240" w:lineRule="auto"/>
        <w:jc w:val="both"/>
        <w:rPr>
          <w:rFonts w:ascii="Times New Roman" w:eastAsia="Times New Roman" w:hAnsi="Times New Roman" w:cs="Times New Roman"/>
          <w:lang w:val="fr-CA"/>
        </w:rPr>
      </w:pPr>
      <w:r w:rsidRPr="00C85231">
        <w:rPr>
          <w:rFonts w:ascii="Times New Roman" w:hAnsi="Times New Roman" w:cs="Times New Roman"/>
          <w:b/>
        </w:rPr>
        <w:t>ODD2. Éliminer la faim, assurer la sécurité alimentaire, améliorer la nutrition et promouvoir l’agriculture durable :</w:t>
      </w:r>
      <w:r w:rsidRPr="00C85231">
        <w:rPr>
          <w:rFonts w:ascii="Times New Roman" w:hAnsi="Times New Roman" w:cs="Times New Roman"/>
        </w:rPr>
        <w:t xml:space="preserve"> </w:t>
      </w:r>
      <w:r w:rsidR="00832A6D" w:rsidRPr="00832A6D">
        <w:rPr>
          <w:rFonts w:ascii="Times New Roman" w:hAnsi="Times New Roman" w:cs="Times New Roman"/>
          <w:b/>
          <w:bCs/>
        </w:rPr>
        <w:t>:</w:t>
      </w:r>
      <w:r w:rsidR="00832A6D" w:rsidRPr="00832A6D">
        <w:rPr>
          <w:rFonts w:ascii="Times New Roman" w:hAnsi="Times New Roman" w:cs="Times New Roman"/>
        </w:rPr>
        <w:t xml:space="preserve"> </w:t>
      </w:r>
      <w:r w:rsidR="00832A6D" w:rsidRPr="00832A6D">
        <w:rPr>
          <w:rFonts w:ascii="Times New Roman" w:eastAsia="Times New Roman" w:hAnsi="Times New Roman" w:cs="Times New Roman"/>
          <w:lang w:val="fr"/>
        </w:rPr>
        <w:t xml:space="preserve"> (Cible </w:t>
      </w:r>
      <w:r w:rsidR="00832A6D" w:rsidRPr="00832A6D">
        <w:rPr>
          <w:rFonts w:ascii="Times New Roman" w:eastAsia="Times New Roman" w:hAnsi="Times New Roman" w:cs="Times New Roman"/>
          <w:lang w:val="fr-CA"/>
        </w:rPr>
        <w:t>2.2: « D'ici 2030, mettre fin à toutes les formes de malnutrition, notamment en atteignant d'ici 2025 les objectifs convenus au niveau international</w:t>
      </w:r>
      <w:hyperlink r:id="rId48" w:anchor="_ftn1" w:history="1">
        <w:r w:rsidR="00832A6D" w:rsidRPr="00832A6D">
          <w:rPr>
            <w:rStyle w:val="Lienhypertexte"/>
            <w:rFonts w:ascii="Times New Roman" w:eastAsia="Times New Roman" w:hAnsi="Times New Roman" w:cs="Times New Roman"/>
            <w:vertAlign w:val="superscript"/>
            <w:lang w:val="fr-CA"/>
          </w:rPr>
          <w:t>[1]</w:t>
        </w:r>
      </w:hyperlink>
      <w:r w:rsidR="00832A6D" w:rsidRPr="00832A6D">
        <w:rPr>
          <w:rFonts w:ascii="Times New Roman" w:eastAsia="Times New Roman" w:hAnsi="Times New Roman" w:cs="Times New Roman"/>
          <w:lang w:val="fr-CA"/>
        </w:rPr>
        <w:t xml:space="preserve"> concernant le retard de croissance et l'émaciation chez les enfants de moins de 5 ans, et répondre aux besoins nutritionnels des adolescentes, des femmes enceintes et des femmes allaitantes et des personnes âgées »</w:t>
      </w:r>
      <w:hyperlink r:id="rId49" w:anchor="_ftn2" w:history="1">
        <w:r w:rsidR="00832A6D" w:rsidRPr="00832A6D">
          <w:rPr>
            <w:rStyle w:val="Lienhypertexte"/>
            <w:rFonts w:ascii="Times New Roman" w:eastAsia="Times New Roman" w:hAnsi="Times New Roman" w:cs="Times New Roman"/>
            <w:vertAlign w:val="superscript"/>
            <w:lang w:val="fr-CA"/>
          </w:rPr>
          <w:t>[2]</w:t>
        </w:r>
      </w:hyperlink>
      <w:r w:rsidR="00832A6D" w:rsidRPr="00832A6D">
        <w:rPr>
          <w:rFonts w:ascii="Times New Roman" w:eastAsia="Times New Roman" w:hAnsi="Times New Roman" w:cs="Times New Roman"/>
          <w:lang w:val="fr-CA"/>
        </w:rPr>
        <w:t xml:space="preserve">. </w:t>
      </w:r>
    </w:p>
    <w:p w14:paraId="44248DBE" w14:textId="3A66AF89" w:rsidR="0028280C" w:rsidRPr="00364977" w:rsidRDefault="00832A6D" w:rsidP="00B218A7">
      <w:pPr>
        <w:spacing w:before="120" w:after="120" w:line="240" w:lineRule="auto"/>
        <w:jc w:val="both"/>
        <w:rPr>
          <w:rFonts w:ascii="Times New Roman" w:eastAsia="Times New Roman" w:hAnsi="Times New Roman" w:cs="Times New Roman"/>
          <w:lang w:val="fr"/>
        </w:rPr>
      </w:pPr>
      <w:r w:rsidRPr="00832A6D">
        <w:rPr>
          <w:rFonts w:ascii="Times New Roman" w:eastAsia="Times New Roman" w:hAnsi="Times New Roman" w:cs="Times New Roman"/>
          <w:lang w:val="fr"/>
        </w:rPr>
        <w:t xml:space="preserve">Le Niger a fait des progrès limités vers la réalisation des cibles relatives aux maladies non transmissibles (MNT) liées à l'alimentation. Le pays n'a montré aucun progrès vers la réalisation de l'objectif d'obésité, avec environ 10,5% des femmes adultes (âgées de 18 ans et plus) et 3,1% des hommes adultes vivant avec </w:t>
      </w:r>
      <w:r w:rsidRPr="00364977">
        <w:rPr>
          <w:rFonts w:ascii="Times New Roman" w:eastAsia="Times New Roman" w:hAnsi="Times New Roman" w:cs="Times New Roman"/>
          <w:lang w:val="fr"/>
        </w:rPr>
        <w:t xml:space="preserve">l'obésité. La prévalence de l'obésité au Niger est inférieure à la moyenne régionale de 20,7 % pour </w:t>
      </w:r>
      <w:r w:rsidRPr="00364977">
        <w:rPr>
          <w:rFonts w:ascii="Times New Roman" w:eastAsia="Times New Roman" w:hAnsi="Times New Roman" w:cs="Times New Roman"/>
          <w:lang w:val="fr"/>
        </w:rPr>
        <w:lastRenderedPageBreak/>
        <w:t>les femmes et de 9,2 % pour les hommes. Dans le même temps, on estime que le diabète touche 6,2 % des femmes adultes et 7,0 % des hommes adultes.</w:t>
      </w:r>
      <w:hyperlink r:id="rId50" w:anchor="_ftn4" w:history="1">
        <w:r w:rsidRPr="00364977">
          <w:rPr>
            <w:rStyle w:val="Lienhypertexte"/>
            <w:rFonts w:ascii="Times New Roman" w:eastAsia="Times New Roman" w:hAnsi="Times New Roman" w:cs="Times New Roman"/>
            <w:color w:val="auto"/>
            <w:vertAlign w:val="superscript"/>
            <w:lang w:val="fr"/>
          </w:rPr>
          <w:t>[4]</w:t>
        </w:r>
      </w:hyperlink>
      <w:r w:rsidR="00B218A7" w:rsidRPr="00364977">
        <w:rPr>
          <w:rFonts w:ascii="Times New Roman" w:eastAsia="Times New Roman" w:hAnsi="Times New Roman" w:cs="Times New Roman"/>
          <w:lang w:val="fr"/>
        </w:rPr>
        <w:t xml:space="preserve"> </w:t>
      </w:r>
    </w:p>
    <w:p w14:paraId="35B66F64" w14:textId="77777777" w:rsidR="003740B4" w:rsidRPr="00364977" w:rsidRDefault="0028280C" w:rsidP="0028280C">
      <w:pPr>
        <w:spacing w:line="240" w:lineRule="auto"/>
        <w:jc w:val="both"/>
        <w:rPr>
          <w:rFonts w:ascii="Times New Roman" w:hAnsi="Times New Roman" w:cs="Times New Roman"/>
        </w:rPr>
      </w:pPr>
      <w:r w:rsidRPr="00364977">
        <w:rPr>
          <w:rFonts w:ascii="Times New Roman" w:hAnsi="Times New Roman" w:cs="Times New Roman"/>
          <w:b/>
        </w:rPr>
        <w:t>ODD3. Permettre à tous de vivre en bonne santé et promouvoir le bien-être de tous à tout âge :</w:t>
      </w:r>
      <w:r w:rsidRPr="00364977">
        <w:rPr>
          <w:rFonts w:ascii="Times New Roman" w:hAnsi="Times New Roman" w:cs="Times New Roman"/>
        </w:rPr>
        <w:t xml:space="preserve"> </w:t>
      </w:r>
    </w:p>
    <w:p w14:paraId="5587D4FF" w14:textId="5853880C" w:rsidR="003740B4" w:rsidRPr="00F9445D" w:rsidRDefault="003740B4" w:rsidP="003740B4">
      <w:pPr>
        <w:jc w:val="both"/>
        <w:rPr>
          <w:rFonts w:ascii="Times New Roman" w:hAnsi="Times New Roman" w:cs="Times New Roman"/>
        </w:rPr>
      </w:pPr>
      <w:r w:rsidRPr="00364977">
        <w:rPr>
          <w:rFonts w:ascii="Times New Roman" w:hAnsi="Times New Roman" w:cs="Times New Roman"/>
        </w:rPr>
        <w:t xml:space="preserve">Le pourcentage de naissances qui se sont déroulées avec l’assistance d’un prestataire formé est passé 29% à 44% entre 2012 et 2021 (ENAFEME, 2021). Les proportions des femmes ayant eu recours à quatre visites prénatales ou plus (33% à 38%) et celle des femmes ayant eu recours au moins à une consultation prénatale (83% à 84%) se sont également améliorées. </w:t>
      </w:r>
      <w:r w:rsidR="009462B8" w:rsidRPr="00364977">
        <w:rPr>
          <w:rFonts w:ascii="Times New Roman" w:hAnsi="Times New Roman" w:cs="Times New Roman"/>
        </w:rPr>
        <w:t xml:space="preserve">Tout en restant élevée, la mortalité maternelle a diminué, passant de 648 décès pour 100 000 naissances vivantes en 2006 à 520 décès pour 100 000 naissances vivantes en 2015. Ce progrès s’explique par un personnel d’accompagnement à l’accouchement mieux formé (29 % en 2012 contre 36,8 % en 2017) et un meilleur accès aux soins obstétricaux et néonatals d’urgence (29 % en 2012 contre 51,7 % en 2017). </w:t>
      </w:r>
      <w:r w:rsidRPr="00364977">
        <w:rPr>
          <w:rFonts w:ascii="Times New Roman" w:hAnsi="Times New Roman" w:cs="Times New Roman"/>
        </w:rPr>
        <w:t xml:space="preserve">Le taux de mortalité des enfants de moins de 5 ans qui s’établissait à 126‰ en 2015 a légèrement baissé et se situe </w:t>
      </w:r>
      <w:proofErr w:type="gramStart"/>
      <w:r w:rsidRPr="00364977">
        <w:rPr>
          <w:rFonts w:ascii="Times New Roman" w:hAnsi="Times New Roman" w:cs="Times New Roman"/>
        </w:rPr>
        <w:t>à  123</w:t>
      </w:r>
      <w:proofErr w:type="gramEnd"/>
      <w:r w:rsidRPr="00364977">
        <w:rPr>
          <w:rFonts w:ascii="Times New Roman" w:hAnsi="Times New Roman" w:cs="Times New Roman"/>
        </w:rPr>
        <w:t>‰ en 2021, du fait excl</w:t>
      </w:r>
      <w:r w:rsidRPr="00F9445D">
        <w:rPr>
          <w:rFonts w:ascii="Times New Roman" w:hAnsi="Times New Roman" w:cs="Times New Roman"/>
        </w:rPr>
        <w:t xml:space="preserve">usivement de la baisse de la mortalité juvénile qui est passée de 81 pour mille à 55 pour mille. La mortalité des enfants de moins d’un an a quant à elle connu une légère hausse passant de 51 pour mille en 2012 à 73 pour mille en 2021. </w:t>
      </w:r>
    </w:p>
    <w:p w14:paraId="495E8352" w14:textId="2B04ABB4" w:rsidR="0028280C" w:rsidRDefault="0028280C" w:rsidP="0028280C">
      <w:pPr>
        <w:spacing w:line="240" w:lineRule="auto"/>
        <w:jc w:val="both"/>
        <w:rPr>
          <w:rFonts w:ascii="Times New Roman" w:hAnsi="Times New Roman" w:cs="Times New Roman"/>
        </w:rPr>
      </w:pPr>
      <w:r w:rsidRPr="00C85231">
        <w:rPr>
          <w:rFonts w:ascii="Times New Roman" w:hAnsi="Times New Roman" w:cs="Times New Roman"/>
        </w:rPr>
        <w:t>L’incidence du VIH/SIDA a connu une amélioration entre 2015 et 2018, passant de 0,07% en 2015 à 0,01% en 2018. L’incidence de la tuberculose pour 1000 habitants et celui du Paludisme, se sont dégradées en passant respectivement de 0,61 en 2015 à 0,9 en 2018 et de 160,48 en 2015 à 198,02 en 2020.</w:t>
      </w:r>
    </w:p>
    <w:p w14:paraId="451162D1" w14:textId="33B54641" w:rsidR="00F5173D" w:rsidRPr="00C85231" w:rsidRDefault="00F5173D" w:rsidP="00F5173D">
      <w:pPr>
        <w:spacing w:line="240" w:lineRule="auto"/>
        <w:jc w:val="both"/>
        <w:rPr>
          <w:rFonts w:ascii="Times New Roman" w:hAnsi="Times New Roman" w:cs="Times New Roman"/>
        </w:rPr>
      </w:pPr>
      <w:r w:rsidRPr="00552CFE">
        <w:rPr>
          <w:rFonts w:ascii="Times New Roman" w:hAnsi="Times New Roman" w:cs="Times New Roman"/>
        </w:rPr>
        <w:t xml:space="preserve">Ainsi, le taux de succès thérapeutique de la tuberculose est passé de 81% en 2016 à 82,9% en 2019. Il affiche une évolution variée sur la période, du fait des problèmes liés aux perdus de vue et des non évalués. </w:t>
      </w:r>
      <w:r>
        <w:rPr>
          <w:rFonts w:ascii="Times New Roman" w:hAnsi="Times New Roman" w:cs="Times New Roman"/>
          <w:iCs/>
          <w:lang w:bidi="en-US"/>
        </w:rPr>
        <w:t>L</w:t>
      </w:r>
      <w:r w:rsidRPr="009C6F47">
        <w:rPr>
          <w:rFonts w:ascii="Times New Roman" w:hAnsi="Times New Roman" w:cs="Times New Roman"/>
          <w:iCs/>
          <w:lang w:bidi="en-US"/>
        </w:rPr>
        <w:t xml:space="preserve">’incidence du paludisme reste préoccupante </w:t>
      </w:r>
      <w:r w:rsidRPr="005517FF">
        <w:rPr>
          <w:rFonts w:ascii="Times New Roman" w:hAnsi="Times New Roman" w:cs="Times New Roman"/>
          <w:iCs/>
          <w:lang w:bidi="en-US"/>
        </w:rPr>
        <w:t>sur la période 2017-2020</w:t>
      </w:r>
      <w:r w:rsidRPr="009C6F47">
        <w:rPr>
          <w:rFonts w:ascii="Times New Roman" w:hAnsi="Times New Roman" w:cs="Times New Roman"/>
          <w:iCs/>
          <w:lang w:bidi="en-US"/>
        </w:rPr>
        <w:t xml:space="preserve">n passant de </w:t>
      </w:r>
      <w:r w:rsidRPr="009C6F47">
        <w:rPr>
          <w:rFonts w:ascii="Times New Roman" w:hAnsi="Times New Roman" w:cs="Times New Roman"/>
        </w:rPr>
        <w:t xml:space="preserve">15 961 cas en 2017 </w:t>
      </w:r>
      <w:r w:rsidRPr="009C6F47">
        <w:rPr>
          <w:rFonts w:ascii="Times New Roman" w:hAnsi="Times New Roman" w:cs="Times New Roman"/>
          <w:iCs/>
          <w:lang w:bidi="en-US"/>
        </w:rPr>
        <w:t>à 19 802 cas pour 100.000 habitants en 2020.</w:t>
      </w:r>
      <w:r>
        <w:rPr>
          <w:rFonts w:ascii="Times New Roman" w:hAnsi="Times New Roman" w:cs="Times New Roman"/>
        </w:rPr>
        <w:t xml:space="preserve"> </w:t>
      </w:r>
      <w:r w:rsidRPr="003045DD">
        <w:rPr>
          <w:rFonts w:ascii="Times New Roman" w:hAnsi="Times New Roman" w:cs="Times New Roman"/>
        </w:rPr>
        <w:t>Il convient également de souligner l</w:t>
      </w:r>
      <w:r w:rsidRPr="00954733">
        <w:rPr>
          <w:rFonts w:ascii="Times New Roman" w:hAnsi="Times New Roman" w:cs="Times New Roman"/>
        </w:rPr>
        <w:t xml:space="preserve">’émergence des maladies non transmissibles </w:t>
      </w:r>
      <w:r w:rsidRPr="003045DD">
        <w:rPr>
          <w:rFonts w:ascii="Times New Roman" w:hAnsi="Times New Roman" w:cs="Times New Roman"/>
        </w:rPr>
        <w:t>qui sont de plus en plus fréquentes. L’enquête STEPS réalisée 2021, a montré une prévalence de la tension artérielle élevée (y compris ceux sous traitement) est de 27,7%</w:t>
      </w:r>
      <w:r w:rsidRPr="00954733">
        <w:rPr>
          <w:rFonts w:ascii="Times New Roman" w:hAnsi="Times New Roman" w:cs="Times New Roman"/>
          <w:bCs/>
          <w:iCs/>
        </w:rPr>
        <w:t xml:space="preserve"> et une glycémie élevée (supérieure ou égale à 7mmol ou à 1,26g/l) de 2,3%.</w:t>
      </w:r>
    </w:p>
    <w:p w14:paraId="49E0BDB3" w14:textId="77777777" w:rsidR="0028280C" w:rsidRPr="00364977" w:rsidRDefault="0028280C" w:rsidP="0028280C">
      <w:pPr>
        <w:spacing w:line="240" w:lineRule="auto"/>
        <w:jc w:val="both"/>
        <w:rPr>
          <w:rFonts w:ascii="Times New Roman" w:hAnsi="Times New Roman" w:cs="Times New Roman"/>
        </w:rPr>
      </w:pPr>
      <w:r w:rsidRPr="00C85231">
        <w:rPr>
          <w:rFonts w:ascii="Times New Roman" w:hAnsi="Times New Roman" w:cs="Times New Roman"/>
          <w:b/>
        </w:rPr>
        <w:t xml:space="preserve">ODD4. Assurer à tous une éducation équitable, inclusive et de qualité et des possibilités d’apprentissage tout au long de la vie : </w:t>
      </w:r>
      <w:r w:rsidRPr="00C85231">
        <w:rPr>
          <w:rFonts w:ascii="Times New Roman" w:hAnsi="Times New Roman" w:cs="Times New Roman"/>
        </w:rPr>
        <w:t>Pour la « </w:t>
      </w:r>
      <w:r w:rsidRPr="00C85231">
        <w:rPr>
          <w:rFonts w:ascii="Times New Roman" w:hAnsi="Times New Roman" w:cs="Times New Roman"/>
          <w:i/>
        </w:rPr>
        <w:t xml:space="preserve">Cible 4.1 : D’ici à 2030, faire en sorte que toutes les filles et tous les garçons suivent, un cycle complet d’enseignement primaire et secondaire gratuit et de qualité, qui débouche sur un apprentissage véritablement utile », </w:t>
      </w:r>
      <w:r w:rsidRPr="00C85231">
        <w:rPr>
          <w:rFonts w:ascii="Times New Roman" w:hAnsi="Times New Roman" w:cs="Times New Roman"/>
          <w:color w:val="000000" w:themeColor="text1"/>
        </w:rPr>
        <w:t>le</w:t>
      </w:r>
      <w:r w:rsidRPr="00C85231">
        <w:rPr>
          <w:rFonts w:ascii="Times New Roman" w:hAnsi="Times New Roman" w:cs="Times New Roman"/>
        </w:rPr>
        <w:t xml:space="preserve"> pourcentage d'élèves ayant atteint au moins le seuil minimal en lecture est passé de 26,8% en 2015 à 29,8% en 2018, soit une hausse de 3 </w:t>
      </w:r>
      <w:r w:rsidRPr="00364977">
        <w:rPr>
          <w:rFonts w:ascii="Times New Roman" w:hAnsi="Times New Roman" w:cs="Times New Roman"/>
        </w:rPr>
        <w:t xml:space="preserve">points. Quant au pourcentage d'élèves ayant atteint au moins le seuil minimal en mathématiques, il est passé de 27,6% en 2015 à 41,7% en 2018, soit une hausse de quatorze (14) points. </w:t>
      </w:r>
    </w:p>
    <w:p w14:paraId="4DDA5EDB" w14:textId="77777777" w:rsidR="0028280C" w:rsidRPr="00364977" w:rsidRDefault="0028280C" w:rsidP="0028280C">
      <w:pPr>
        <w:spacing w:line="240" w:lineRule="auto"/>
        <w:jc w:val="both"/>
        <w:rPr>
          <w:rFonts w:ascii="Times New Roman" w:hAnsi="Times New Roman" w:cs="Times New Roman"/>
        </w:rPr>
      </w:pPr>
      <w:r w:rsidRPr="00364977">
        <w:rPr>
          <w:rFonts w:ascii="Times New Roman" w:hAnsi="Times New Roman" w:cs="Times New Roman"/>
        </w:rPr>
        <w:t xml:space="preserve">Le Taux Brut de Scolarisation (TBS) au primaire est passé de 74,6% à 70,6% entre 2015 et 2018, soit une baisse de quatre (04) points. Pour le Taux Net de Scolarisation (TNS), il était de 63,7% en 2015, contre 61,5% en 2018. Soit une diminution d’environ trois (03) points. Pour le secondaire premier cycle, le TBS passe de 29,5% en 2015 à 36,8 en 2018. Autrement dit, il s’agit d’une augmentation d’environ trois (03) points. Quant au TNS, il est passé de 21,7% en 2015 à 27,1% en 2018, soit une hausse d’environ cinq (05) points de pourcentage. Pour le secondaire second cycle, le TBS est passé de 7% à 9,8% entre 2015 et 2018, soit une hausse de deux (02) points. Pour le Taux Net de Scolarisation (TNS), il était de 4% en 2015, contre 4,9% en 2018, soit une augmentation d’environ un (01) point. </w:t>
      </w:r>
      <w:r w:rsidRPr="00364977">
        <w:rPr>
          <w:rFonts w:ascii="Times New Roman" w:hAnsi="Times New Roman" w:cs="Times New Roman"/>
          <w:i/>
        </w:rPr>
        <w:t>Quant à la « Cible 4.6 : D’ici à 2030, veiller à ce que tous les jeunes et une proportion considérable d’adultes, hommes et femmes, sachent lire, écrire et compter », l</w:t>
      </w:r>
      <w:r w:rsidRPr="00364977">
        <w:rPr>
          <w:rFonts w:ascii="Times New Roman" w:hAnsi="Times New Roman" w:cs="Times New Roman"/>
        </w:rPr>
        <w:t>e Taux d'alphabétisation des adultes au Niger, est resté stable autour de 28% depuis 2014.</w:t>
      </w:r>
    </w:p>
    <w:p w14:paraId="4D75E7CD" w14:textId="77777777" w:rsidR="0028280C" w:rsidRPr="00C85231" w:rsidRDefault="0028280C" w:rsidP="0028280C">
      <w:pPr>
        <w:spacing w:line="240" w:lineRule="auto"/>
        <w:jc w:val="both"/>
        <w:rPr>
          <w:rFonts w:ascii="Times New Roman" w:hAnsi="Times New Roman" w:cs="Times New Roman"/>
        </w:rPr>
      </w:pPr>
      <w:r w:rsidRPr="00364977">
        <w:rPr>
          <w:rFonts w:ascii="Times New Roman" w:hAnsi="Times New Roman" w:cs="Times New Roman"/>
        </w:rPr>
        <w:t xml:space="preserve">Les objectifs de développement durable en matière d’éducation dans le cadre de la SDDCI sont, entre autres, de faire passer la durée moyenne de scolarisation de 1,5 an en 2015 à 4,5 ans en 2035 d’augmenter l’espérance de vie scolaire de 5,4 ans </w:t>
      </w:r>
      <w:r w:rsidRPr="00C85231">
        <w:rPr>
          <w:rFonts w:ascii="Times New Roman" w:hAnsi="Times New Roman" w:cs="Times New Roman"/>
        </w:rPr>
        <w:t>en 2015 à 7,8 ans en 2030 et à 9 ans en 2035.</w:t>
      </w:r>
    </w:p>
    <w:p w14:paraId="3F4A810F" w14:textId="77777777" w:rsidR="0028280C" w:rsidRPr="00E872CF" w:rsidRDefault="0028280C" w:rsidP="0028280C">
      <w:pPr>
        <w:spacing w:line="240" w:lineRule="auto"/>
        <w:jc w:val="both"/>
        <w:rPr>
          <w:rFonts w:ascii="Times New Roman" w:hAnsi="Times New Roman" w:cs="Times New Roman"/>
        </w:rPr>
      </w:pPr>
      <w:r w:rsidRPr="00A632D2">
        <w:rPr>
          <w:rFonts w:ascii="Times New Roman" w:hAnsi="Times New Roman" w:cs="Times New Roman"/>
          <w:b/>
        </w:rPr>
        <w:t xml:space="preserve">ODD5. Parvenir à l’égalité des sexes et autonomiser toutes les femmes et les filles : </w:t>
      </w:r>
      <w:r w:rsidRPr="00A632D2">
        <w:rPr>
          <w:rFonts w:ascii="Times New Roman" w:hAnsi="Times New Roman" w:cs="Times New Roman"/>
          <w:bCs/>
          <w:color w:val="000000" w:themeColor="text1"/>
        </w:rPr>
        <w:t>Pour la « </w:t>
      </w:r>
      <w:r w:rsidRPr="00A632D2">
        <w:rPr>
          <w:rFonts w:ascii="Times New Roman" w:hAnsi="Times New Roman" w:cs="Times New Roman"/>
          <w:i/>
        </w:rPr>
        <w:t>Cible 5.1</w:t>
      </w:r>
      <w:r w:rsidRPr="00A632D2">
        <w:rPr>
          <w:rFonts w:ascii="Times New Roman" w:hAnsi="Times New Roman" w:cs="Times New Roman"/>
          <w:i/>
          <w:color w:val="000000" w:themeColor="text1"/>
        </w:rPr>
        <w:t> </w:t>
      </w:r>
      <w:r w:rsidRPr="00A632D2">
        <w:rPr>
          <w:rFonts w:ascii="Times New Roman" w:hAnsi="Times New Roman" w:cs="Times New Roman"/>
          <w:i/>
        </w:rPr>
        <w:t xml:space="preserve">: Mettre fin, partout dans le monde, à toutes les formes de discrimination à l’égard des femmes et </w:t>
      </w:r>
      <w:r w:rsidRPr="00A632D2">
        <w:rPr>
          <w:rFonts w:ascii="Times New Roman" w:hAnsi="Times New Roman" w:cs="Times New Roman"/>
          <w:i/>
        </w:rPr>
        <w:lastRenderedPageBreak/>
        <w:t>des filles</w:t>
      </w:r>
      <w:r w:rsidRPr="00A632D2">
        <w:rPr>
          <w:rFonts w:ascii="Times New Roman" w:hAnsi="Times New Roman" w:cs="Times New Roman"/>
          <w:iCs/>
          <w:color w:val="000000" w:themeColor="text1"/>
        </w:rPr>
        <w:t> », il ressort que l</w:t>
      </w:r>
      <w:r w:rsidRPr="00A632D2">
        <w:rPr>
          <w:rFonts w:ascii="Times New Roman" w:hAnsi="Times New Roman" w:cs="Times New Roman"/>
          <w:color w:val="000000" w:themeColor="text1"/>
        </w:rPr>
        <w:t>es</w:t>
      </w:r>
      <w:r w:rsidRPr="00A632D2">
        <w:rPr>
          <w:rFonts w:ascii="Times New Roman" w:hAnsi="Times New Roman" w:cs="Times New Roman"/>
        </w:rPr>
        <w:t xml:space="preserve"> femmes et les enfants sont exposés aux violences basées sur le genre. Celles-ci se posent en tant que problème de droits, de santé publique, de genre et de droits humains. En 2015 et 2021, le Ministère de la Promotion de la Femme et de la Protection de l’Enfant a réalisé deux études nationales sur « l’ampleur et les déterminants des VBG au Niger ». Les résultats obtenus indiquent que les femmes restent dans l’ensemble les plus touchées par le phénomène. Ainsi, la prévalence globale des VBG au cours de la vie est de 29,0%, soit respectivement 38,2% chez les femmes et 16,3% chez les hommes. Au cours des 12 derniers mois ayant précédé l’enquête, la prévalence globale des VBG est de 4,8%, soit 7,8% chez les femmes et 2,0% chez les hommes. Parmi les enquêtés ayant déclaré avoir déjà subi une </w:t>
      </w:r>
      <w:r w:rsidRPr="00E872CF">
        <w:rPr>
          <w:rFonts w:ascii="Times New Roman" w:hAnsi="Times New Roman" w:cs="Times New Roman"/>
        </w:rPr>
        <w:t xml:space="preserve">VBG au cours de leur vie, 10,0% ont été victimes d’une VBG au cours des douze derniers mois ayant précédé l’enquête, soit 13,8% chez les femmes et 4,9% chez les hommes. Le phénomène reste préoccupant. (Etude sur l’ampleur et les déterminants des violences basées sur le genre au Niger, Juin 2021). </w:t>
      </w:r>
    </w:p>
    <w:p w14:paraId="2845F145" w14:textId="77777777" w:rsidR="0028280C" w:rsidRPr="00E872CF" w:rsidRDefault="0028280C" w:rsidP="0028280C">
      <w:pPr>
        <w:spacing w:line="240" w:lineRule="auto"/>
        <w:jc w:val="both"/>
        <w:rPr>
          <w:rFonts w:ascii="Times New Roman" w:hAnsi="Times New Roman" w:cs="Times New Roman"/>
        </w:rPr>
      </w:pPr>
      <w:r w:rsidRPr="00E872CF">
        <w:rPr>
          <w:rFonts w:ascii="Times New Roman" w:hAnsi="Times New Roman" w:cs="Times New Roman"/>
        </w:rPr>
        <w:t>Pour la « </w:t>
      </w:r>
      <w:r w:rsidRPr="00E872CF">
        <w:rPr>
          <w:rFonts w:ascii="Times New Roman" w:hAnsi="Times New Roman" w:cs="Times New Roman"/>
          <w:i/>
        </w:rPr>
        <w:t>Cible. 5.5 : Veiller à ce que les femmes participent pleinement et effectivement aux fonctions de direction à tous les niveaux de décision, dans la vie politique, économique et publique, et y accèdent sur un pied d’égalité</w:t>
      </w:r>
      <w:r w:rsidRPr="00E872CF">
        <w:rPr>
          <w:rFonts w:ascii="Times New Roman" w:hAnsi="Times New Roman" w:cs="Times New Roman"/>
        </w:rPr>
        <w:t xml:space="preserve"> », on note qu’au Niger, la proportion de sièges occupés par des femmes dans les parlements nationaux est de 16,6% (Cible 25%), sur la période 2016-2018. Concernant la proportion de femmes ministres, elle est passée de 14,3% en 2017 à 16,6% en 2018 (cible 30%). </w:t>
      </w:r>
    </w:p>
    <w:p w14:paraId="1E45AF39" w14:textId="43DB1E13" w:rsidR="0028280C" w:rsidRPr="00E872CF" w:rsidRDefault="0028280C" w:rsidP="0028280C">
      <w:pPr>
        <w:spacing w:line="276" w:lineRule="auto"/>
        <w:jc w:val="both"/>
        <w:rPr>
          <w:rFonts w:ascii="Times New Roman" w:eastAsia="Times New Roman" w:hAnsi="Times New Roman" w:cs="Times New Roman"/>
          <w:iCs/>
        </w:rPr>
      </w:pPr>
      <w:r w:rsidRPr="00A632D2">
        <w:rPr>
          <w:rFonts w:ascii="Times New Roman" w:hAnsi="Times New Roman" w:cs="Times New Roman"/>
          <w:b/>
        </w:rPr>
        <w:t>ODD6. Garantir l’accès de tous à des services d’alimentation en eau et d’assainissement gérés de façon durable</w:t>
      </w:r>
      <w:r w:rsidRPr="00A632D2">
        <w:rPr>
          <w:rFonts w:ascii="Times New Roman" w:hAnsi="Times New Roman" w:cs="Times New Roman"/>
        </w:rPr>
        <w:t xml:space="preserve"> : Garantir l’accès de tous à des services d’alimentation en eau et d’assainissement gérés de façon durable. En 2017, au Niger, l’Hydraulique rurale a touché 17 503 999 habitants (soit 84 % de la population) et l’hydraulique urbaine a </w:t>
      </w:r>
      <w:r w:rsidRPr="00E872CF">
        <w:rPr>
          <w:rFonts w:ascii="Times New Roman" w:hAnsi="Times New Roman" w:cs="Times New Roman"/>
        </w:rPr>
        <w:t>concerné 3 297 791 habitants (16 %), chiffres estimés sur la base des données du RGP/H (INS, 2012). Seuls 1,25% de la population rurale a accès à un service optimal d’eau potable et 65,76%</w:t>
      </w:r>
      <w:r w:rsidRPr="00E872CF">
        <w:rPr>
          <w:rFonts w:ascii="Times New Roman" w:hAnsi="Times New Roman" w:cs="Times New Roman"/>
          <w:b/>
        </w:rPr>
        <w:t xml:space="preserve"> </w:t>
      </w:r>
      <w:r w:rsidRPr="00E872CF">
        <w:rPr>
          <w:rFonts w:ascii="Times New Roman" w:hAnsi="Times New Roman" w:cs="Times New Roman"/>
        </w:rPr>
        <w:t xml:space="preserve">en milieu urbain en 2017. </w:t>
      </w:r>
    </w:p>
    <w:p w14:paraId="725FD84C" w14:textId="77777777" w:rsidR="0028280C" w:rsidRPr="00E872CF" w:rsidRDefault="0028280C" w:rsidP="00E25B1F">
      <w:pPr>
        <w:pStyle w:val="Titre2"/>
        <w:jc w:val="both"/>
        <w:rPr>
          <w:rFonts w:ascii="Bernard MT Condensed" w:hAnsi="Bernard MT Condensed"/>
          <w:color w:val="auto"/>
          <w:sz w:val="28"/>
          <w:szCs w:val="28"/>
        </w:rPr>
      </w:pPr>
      <w:bookmarkStart w:id="329" w:name="_Toc84789683"/>
      <w:bookmarkStart w:id="330" w:name="_Toc86687754"/>
      <w:bookmarkStart w:id="331" w:name="_Toc89479436"/>
      <w:bookmarkStart w:id="332" w:name="_Toc89480934"/>
      <w:bookmarkStart w:id="333" w:name="_Toc94480176"/>
      <w:bookmarkStart w:id="334" w:name="_Toc94481837"/>
      <w:bookmarkStart w:id="335" w:name="_Toc94482100"/>
      <w:r w:rsidRPr="00E872CF">
        <w:rPr>
          <w:rFonts w:ascii="Bernard MT Condensed" w:hAnsi="Bernard MT Condensed"/>
          <w:color w:val="auto"/>
          <w:sz w:val="28"/>
          <w:szCs w:val="28"/>
        </w:rPr>
        <w:t>III.3 - Modernisation du monde rural, changement climatique, désastres naturels et gestion durable des ressources naturelles</w:t>
      </w:r>
      <w:bookmarkEnd w:id="329"/>
      <w:bookmarkEnd w:id="330"/>
      <w:bookmarkEnd w:id="331"/>
      <w:bookmarkEnd w:id="332"/>
      <w:bookmarkEnd w:id="333"/>
      <w:bookmarkEnd w:id="334"/>
      <w:bookmarkEnd w:id="335"/>
    </w:p>
    <w:p w14:paraId="61F9DD75" w14:textId="6FD3FC20" w:rsidR="0028280C" w:rsidRPr="00E872CF" w:rsidRDefault="0038238E" w:rsidP="003B5F1F">
      <w:pPr>
        <w:jc w:val="both"/>
        <w:rPr>
          <w:rFonts w:ascii="Times New Roman" w:hAnsi="Times New Roman" w:cs="Times New Roman"/>
        </w:rPr>
      </w:pPr>
      <w:r w:rsidRPr="00E872CF">
        <w:rPr>
          <w:rFonts w:ascii="Times New Roman" w:hAnsi="Times New Roman" w:cs="Times New Roman"/>
        </w:rPr>
        <w:t>Les progrès enregistré</w:t>
      </w:r>
      <w:r w:rsidR="0028280C" w:rsidRPr="00E872CF">
        <w:rPr>
          <w:rFonts w:ascii="Times New Roman" w:hAnsi="Times New Roman" w:cs="Times New Roman"/>
        </w:rPr>
        <w:t xml:space="preserve">s vers l’atteinte de </w:t>
      </w:r>
      <w:r w:rsidR="0028280C" w:rsidRPr="00E872CF">
        <w:rPr>
          <w:rFonts w:ascii="Times New Roman" w:hAnsi="Times New Roman" w:cs="Times New Roman"/>
          <w:b/>
          <w:i/>
        </w:rPr>
        <w:t>l’ODD 2 «  Eliminer la faim, assurer la sécurité alimentaire, améliorer la nutrition et promouvoir l’agriculture durable »</w:t>
      </w:r>
      <w:r w:rsidR="0028280C" w:rsidRPr="00E872CF">
        <w:rPr>
          <w:rFonts w:ascii="Times New Roman" w:hAnsi="Times New Roman" w:cs="Times New Roman"/>
        </w:rPr>
        <w:t xml:space="preserve"> se présentent comme suit : </w:t>
      </w:r>
    </w:p>
    <w:p w14:paraId="49B1C977" w14:textId="77777777" w:rsidR="0028280C" w:rsidRPr="00E872CF"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E872CF">
        <w:rPr>
          <w:rFonts w:ascii="Times New Roman" w:hAnsi="Times New Roman" w:cs="Times New Roman"/>
          <w:b/>
          <w:i/>
          <w:sz w:val="22"/>
          <w:szCs w:val="22"/>
        </w:rPr>
        <w:t xml:space="preserve">ODD2 : </w:t>
      </w:r>
      <w:r w:rsidRPr="00E872CF">
        <w:rPr>
          <w:rFonts w:ascii="Times New Roman" w:hAnsi="Times New Roman" w:cs="Times New Roman"/>
          <w:b/>
          <w:bCs/>
          <w:i/>
          <w:sz w:val="22"/>
          <w:szCs w:val="22"/>
        </w:rPr>
        <w:t>La prévalence de la sous-alimentation</w:t>
      </w:r>
      <w:r w:rsidRPr="00E872CF">
        <w:rPr>
          <w:rFonts w:ascii="Times New Roman" w:hAnsi="Times New Roman" w:cs="Times New Roman"/>
          <w:b/>
          <w:bCs/>
          <w:sz w:val="22"/>
          <w:szCs w:val="22"/>
        </w:rPr>
        <w:t xml:space="preserve"> (</w:t>
      </w:r>
      <w:r w:rsidRPr="00E872CF">
        <w:rPr>
          <w:rFonts w:ascii="Times New Roman" w:hAnsi="Times New Roman" w:cs="Times New Roman"/>
          <w:b/>
          <w:bCs/>
          <w:i/>
          <w:sz w:val="22"/>
          <w:szCs w:val="22"/>
        </w:rPr>
        <w:t xml:space="preserve">Indicateur 2.1.1, </w:t>
      </w:r>
      <w:r w:rsidRPr="00E872CF">
        <w:rPr>
          <w:rFonts w:ascii="Times New Roman" w:hAnsi="Times New Roman" w:cs="Times New Roman"/>
          <w:b/>
          <w:bCs/>
          <w:sz w:val="22"/>
          <w:szCs w:val="22"/>
        </w:rPr>
        <w:t>cible 2.1)</w:t>
      </w:r>
      <w:r w:rsidRPr="00E872CF">
        <w:rPr>
          <w:rStyle w:val="Appelnotedebasdep"/>
          <w:rFonts w:ascii="Times New Roman" w:hAnsi="Times New Roman" w:cs="Times New Roman"/>
          <w:b/>
          <w:bCs/>
          <w:sz w:val="22"/>
          <w:szCs w:val="22"/>
        </w:rPr>
        <w:footnoteReference w:id="89"/>
      </w:r>
      <w:r w:rsidRPr="00E872CF">
        <w:rPr>
          <w:rFonts w:ascii="Times New Roman" w:hAnsi="Times New Roman" w:cs="Times New Roman"/>
          <w:b/>
          <w:bCs/>
          <w:sz w:val="22"/>
          <w:szCs w:val="22"/>
        </w:rPr>
        <w:t> </w:t>
      </w:r>
      <w:r w:rsidRPr="00E872CF">
        <w:rPr>
          <w:rFonts w:ascii="Times New Roman" w:hAnsi="Times New Roman" w:cs="Times New Roman"/>
          <w:bCs/>
          <w:sz w:val="22"/>
          <w:szCs w:val="22"/>
        </w:rPr>
        <w:t xml:space="preserve">ne peut  être appréciée faute </w:t>
      </w:r>
      <w:r w:rsidRPr="00E872CF">
        <w:rPr>
          <w:rFonts w:ascii="Times New Roman" w:hAnsi="Times New Roman" w:cs="Times New Roman"/>
          <w:sz w:val="22"/>
          <w:szCs w:val="22"/>
        </w:rPr>
        <w:t>de données récentes pour évaluer les progrès réalisés par rapport à la situation de référence fixée à 50% à l’échelle nationale selon le Rapport référence 2017.</w:t>
      </w:r>
    </w:p>
    <w:p w14:paraId="448AACA7" w14:textId="77777777" w:rsidR="0028280C" w:rsidRPr="005A5E5B"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E872CF">
        <w:rPr>
          <w:rFonts w:ascii="Times New Roman" w:hAnsi="Times New Roman" w:cs="Times New Roman"/>
          <w:b/>
          <w:i/>
          <w:sz w:val="22"/>
          <w:szCs w:val="22"/>
        </w:rPr>
        <w:t>ODD2 : La prévalence d’une insécurité alimentaire modérée ou grave, évaluée selon l’échelle de l’insécurité alimentaire fondée sur l’expérience (Indicateur 2.1.2)</w:t>
      </w:r>
      <w:r w:rsidRPr="00E872CF">
        <w:rPr>
          <w:rFonts w:ascii="Times New Roman" w:hAnsi="Times New Roman" w:cs="Times New Roman"/>
          <w:sz w:val="22"/>
          <w:szCs w:val="22"/>
        </w:rPr>
        <w:t xml:space="preserve"> a connu une forte augmentation passant de 66,4% sur la période 2014-2016 à 83% sur la période 2016-2018. Cette situation peut s’expliquer par la forte croissance démographique, les faibles niveaux de revenu des ménages</w:t>
      </w:r>
      <w:r w:rsidRPr="005A5E5B">
        <w:rPr>
          <w:rFonts w:ascii="Times New Roman" w:hAnsi="Times New Roman" w:cs="Times New Roman"/>
          <w:sz w:val="22"/>
          <w:szCs w:val="22"/>
        </w:rPr>
        <w:t>, le manque de diversité alimentaire (plus de 58% des calories apportées par les céréales), le faible accès aux services de santé (taux d’utilisation des soins curatifs de 49,4% en 2020), les niveaux élevés de pauvreté, la situation d’insécurité (RNV 2021).</w:t>
      </w:r>
    </w:p>
    <w:p w14:paraId="170E5504" w14:textId="5FA332FB" w:rsidR="0028280C"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Pr>
          <w:rFonts w:ascii="Times New Roman" w:hAnsi="Times New Roman" w:cs="Times New Roman"/>
          <w:b/>
          <w:i/>
          <w:sz w:val="22"/>
          <w:szCs w:val="22"/>
        </w:rPr>
        <w:t>ODD2 : La p</w:t>
      </w:r>
      <w:r w:rsidRPr="005A5E5B">
        <w:rPr>
          <w:rFonts w:ascii="Times New Roman" w:hAnsi="Times New Roman" w:cs="Times New Roman"/>
          <w:b/>
          <w:i/>
          <w:sz w:val="22"/>
          <w:szCs w:val="22"/>
        </w:rPr>
        <w:t>révalence du retard de croissance (indice taille/âge inférieur à -2 écarts types par rapport à la moyenne des normes de croissance de l’enfant définies par l’OMS</w:t>
      </w:r>
      <w:r>
        <w:rPr>
          <w:rFonts w:ascii="Times New Roman" w:hAnsi="Times New Roman" w:cs="Times New Roman"/>
          <w:b/>
          <w:i/>
          <w:sz w:val="22"/>
          <w:szCs w:val="22"/>
        </w:rPr>
        <w:t xml:space="preserve"> (Indicateur 2.2.1)</w:t>
      </w:r>
      <w:r w:rsidRPr="005A5E5B">
        <w:rPr>
          <w:rFonts w:ascii="Times New Roman" w:hAnsi="Times New Roman" w:cs="Times New Roman"/>
          <w:sz w:val="22"/>
          <w:szCs w:val="22"/>
        </w:rPr>
        <w:t xml:space="preserve"> a connu une légère </w:t>
      </w:r>
      <w:r w:rsidR="0038238E">
        <w:rPr>
          <w:rFonts w:ascii="Times New Roman" w:hAnsi="Times New Roman" w:cs="Times New Roman"/>
          <w:sz w:val="22"/>
          <w:szCs w:val="22"/>
        </w:rPr>
        <w:t>baisse</w:t>
      </w:r>
      <w:r w:rsidRPr="005A5E5B">
        <w:rPr>
          <w:rFonts w:ascii="Times New Roman" w:hAnsi="Times New Roman" w:cs="Times New Roman"/>
          <w:sz w:val="22"/>
          <w:szCs w:val="22"/>
        </w:rPr>
        <w:t xml:space="preserve"> chez les enfants de mo</w:t>
      </w:r>
      <w:r>
        <w:rPr>
          <w:rFonts w:ascii="Times New Roman" w:hAnsi="Times New Roman" w:cs="Times New Roman"/>
          <w:sz w:val="22"/>
          <w:szCs w:val="22"/>
        </w:rPr>
        <w:t>ins de 5 ans </w:t>
      </w:r>
      <w:r w:rsidRPr="005A5E5B">
        <w:rPr>
          <w:rFonts w:ascii="Times New Roman" w:hAnsi="Times New Roman" w:cs="Times New Roman"/>
          <w:sz w:val="22"/>
          <w:szCs w:val="22"/>
        </w:rPr>
        <w:t>en passant de 45,5% en 2014 à 47,8% en 2018,  puis 45,1% en 2020. Cette tendance à la baisse à partir 2018 pourrait s’expliquer par les effets</w:t>
      </w:r>
      <w:r w:rsidR="0038238E">
        <w:rPr>
          <w:rFonts w:ascii="Times New Roman" w:hAnsi="Times New Roman" w:cs="Times New Roman"/>
          <w:sz w:val="22"/>
          <w:szCs w:val="22"/>
        </w:rPr>
        <w:t xml:space="preserve"> induits</w:t>
      </w:r>
      <w:r w:rsidRPr="005A5E5B">
        <w:rPr>
          <w:rFonts w:ascii="Times New Roman" w:hAnsi="Times New Roman" w:cs="Times New Roman"/>
          <w:sz w:val="22"/>
          <w:szCs w:val="22"/>
        </w:rPr>
        <w:t xml:space="preserve"> des efforts consentis par l’État et ses partenaires dans le cadre de la mise en œuvre de la stratégie I3N. La prévalence de la MAG est passée de 14,8% en 2014 à 15% en 2018, pour s’établir à 12,7% en 2020, soit à un niveau supérieur au seuil d’alerte de 10% fixé par l’OMS en matière de santé publique (RNV 2021). </w:t>
      </w:r>
    </w:p>
    <w:p w14:paraId="09FA4BAD" w14:textId="76083AE9" w:rsidR="0038238E" w:rsidRPr="00E872CF"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Pr>
          <w:rFonts w:ascii="Times New Roman" w:hAnsi="Times New Roman" w:cs="Times New Roman"/>
          <w:sz w:val="22"/>
          <w:szCs w:val="22"/>
        </w:rPr>
        <w:t xml:space="preserve">S’agissant de la </w:t>
      </w:r>
      <w:r w:rsidRPr="005A5E5B">
        <w:rPr>
          <w:rFonts w:ascii="Times New Roman" w:hAnsi="Times New Roman" w:cs="Times New Roman"/>
          <w:sz w:val="22"/>
          <w:szCs w:val="22"/>
        </w:rPr>
        <w:t xml:space="preserve">prévalence de la malnutrition aigüe sévère (MAS), la moyenne s’est établie à 2,6%, sur la période 2014 à 2020, légèrement supérieure au seuil d’urgence de 2% fixé par l’OMS (RNV 2021). </w:t>
      </w:r>
      <w:r w:rsidRPr="005A5E5B">
        <w:rPr>
          <w:rFonts w:ascii="Times New Roman" w:hAnsi="Times New Roman" w:cs="Times New Roman"/>
          <w:sz w:val="22"/>
          <w:szCs w:val="22"/>
        </w:rPr>
        <w:lastRenderedPageBreak/>
        <w:t>L’évolution en dents de scie de la MAG constatée sur la période 2014 à 2020 pourrait s’expliquer par</w:t>
      </w:r>
      <w:r w:rsidR="0038238E">
        <w:rPr>
          <w:rFonts w:ascii="Times New Roman" w:hAnsi="Times New Roman" w:cs="Times New Roman"/>
          <w:sz w:val="22"/>
          <w:szCs w:val="22"/>
        </w:rPr>
        <w:t xml:space="preserve"> la succession </w:t>
      </w:r>
      <w:r w:rsidR="0038238E" w:rsidRPr="00E872CF">
        <w:rPr>
          <w:rFonts w:ascii="Times New Roman" w:hAnsi="Times New Roman" w:cs="Times New Roman"/>
          <w:sz w:val="22"/>
          <w:szCs w:val="22"/>
        </w:rPr>
        <w:t>d</w:t>
      </w:r>
      <w:r w:rsidRPr="00E872CF">
        <w:rPr>
          <w:rFonts w:ascii="Times New Roman" w:hAnsi="Times New Roman" w:cs="Times New Roman"/>
          <w:sz w:val="22"/>
          <w:szCs w:val="22"/>
        </w:rPr>
        <w:t>es pér</w:t>
      </w:r>
      <w:r w:rsidR="0038238E" w:rsidRPr="00E872CF">
        <w:rPr>
          <w:rFonts w:ascii="Times New Roman" w:hAnsi="Times New Roman" w:cs="Times New Roman"/>
          <w:sz w:val="22"/>
          <w:szCs w:val="22"/>
        </w:rPr>
        <w:t>iodes d’abondance et de soudure</w:t>
      </w:r>
      <w:r w:rsidRPr="00E872CF">
        <w:rPr>
          <w:rFonts w:ascii="Times New Roman" w:hAnsi="Times New Roman" w:cs="Times New Roman"/>
          <w:sz w:val="22"/>
          <w:szCs w:val="22"/>
        </w:rPr>
        <w:t>. L’augmentation de la MAG en 2020 serait en lien avec les mesures de prévention contre la propagation du coronavirus.</w:t>
      </w:r>
    </w:p>
    <w:p w14:paraId="05E3CBE2" w14:textId="613377D6" w:rsidR="0028280C" w:rsidRPr="00E872CF" w:rsidRDefault="0028280C" w:rsidP="00EF7E8E">
      <w:pPr>
        <w:pStyle w:val="Corpsdetexte3"/>
        <w:pBdr>
          <w:top w:val="single" w:sz="4" w:space="1" w:color="auto"/>
          <w:left w:val="single" w:sz="4" w:space="4" w:color="auto"/>
          <w:bottom w:val="single" w:sz="4" w:space="1" w:color="auto"/>
          <w:right w:val="single" w:sz="4" w:space="4" w:color="auto"/>
        </w:pBdr>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E872CF">
        <w:rPr>
          <w:rFonts w:ascii="Times New Roman" w:hAnsi="Times New Roman" w:cs="Times New Roman"/>
          <w:b/>
          <w:i/>
          <w:sz w:val="22"/>
          <w:szCs w:val="22"/>
        </w:rPr>
        <w:t>ODD2 : Le volume de production par unité de travail, en fonction de la taille de l’exploitation agricole, pastorale ou forestière - Productivité des petits producteurs alimentaires (Indicateur 2.3.1, cible 2.3)</w:t>
      </w:r>
      <w:r w:rsidRPr="00E872CF">
        <w:rPr>
          <w:rStyle w:val="Appelnotedebasdep"/>
          <w:rFonts w:ascii="Times New Roman" w:hAnsi="Times New Roman" w:cs="Times New Roman"/>
          <w:b/>
          <w:bCs/>
          <w:i/>
          <w:sz w:val="22"/>
          <w:szCs w:val="22"/>
        </w:rPr>
        <w:footnoteReference w:id="90"/>
      </w:r>
      <w:r w:rsidR="0038238E" w:rsidRPr="00E872CF">
        <w:rPr>
          <w:rFonts w:ascii="Times New Roman" w:hAnsi="Times New Roman" w:cs="Times New Roman"/>
          <w:sz w:val="22"/>
          <w:szCs w:val="22"/>
        </w:rPr>
        <w:t xml:space="preserve">. </w:t>
      </w:r>
      <w:r w:rsidR="00E872CF" w:rsidRPr="00E872CF">
        <w:rPr>
          <w:rFonts w:ascii="Times New Roman" w:hAnsi="Times New Roman" w:cs="Times New Roman"/>
          <w:sz w:val="22"/>
          <w:szCs w:val="22"/>
        </w:rPr>
        <w:t>Ceci en peut être apprécié due au manque de données récentes.</w:t>
      </w:r>
    </w:p>
    <w:p w14:paraId="0F1145DE" w14:textId="2531DA15" w:rsidR="0028280C" w:rsidRPr="00E872CF" w:rsidRDefault="0028280C" w:rsidP="00EF7E8E">
      <w:pPr>
        <w:pStyle w:val="Corpsdetexte3"/>
        <w:pBdr>
          <w:top w:val="single" w:sz="4" w:space="1" w:color="auto"/>
          <w:left w:val="single" w:sz="4" w:space="4" w:color="auto"/>
          <w:bottom w:val="single" w:sz="4" w:space="1" w:color="auto"/>
          <w:right w:val="single" w:sz="4" w:space="4" w:color="auto"/>
        </w:pBdr>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E872CF">
        <w:rPr>
          <w:rFonts w:ascii="Times New Roman" w:hAnsi="Times New Roman" w:cs="Times New Roman"/>
          <w:b/>
          <w:i/>
          <w:sz w:val="22"/>
          <w:szCs w:val="22"/>
        </w:rPr>
        <w:t>ODD2 : Le revenu moyen des petits producteurs alimentaires, selon le sexe et le statut d’autochtone (Revenus des petits producteurs alimentaires) (Indicateur 2.3.2)</w:t>
      </w:r>
      <w:r w:rsidRPr="00E872CF">
        <w:rPr>
          <w:rFonts w:ascii="Times New Roman" w:hAnsi="Times New Roman" w:cs="Times New Roman"/>
          <w:sz w:val="22"/>
          <w:szCs w:val="22"/>
        </w:rPr>
        <w:t> </w:t>
      </w:r>
      <w:r w:rsidR="00E872CF" w:rsidRPr="00E872CF">
        <w:rPr>
          <w:rFonts w:ascii="Times New Roman" w:hAnsi="Times New Roman" w:cs="Times New Roman"/>
          <w:sz w:val="22"/>
          <w:szCs w:val="22"/>
        </w:rPr>
        <w:t>Ceci en peut être apprécié due au manque de données récentes.</w:t>
      </w:r>
    </w:p>
    <w:p w14:paraId="24B201EF" w14:textId="2AFFCCCD" w:rsidR="0028280C" w:rsidRPr="00E872CF"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E872CF">
        <w:rPr>
          <w:rFonts w:ascii="Times New Roman" w:hAnsi="Times New Roman" w:cs="Times New Roman"/>
          <w:b/>
          <w:i/>
          <w:sz w:val="22"/>
          <w:szCs w:val="22"/>
        </w:rPr>
        <w:t xml:space="preserve">ODD2 : </w:t>
      </w:r>
      <w:r w:rsidRPr="00E872CF">
        <w:rPr>
          <w:rFonts w:ascii="Times New Roman" w:hAnsi="Times New Roman" w:cs="Times New Roman"/>
          <w:b/>
          <w:bCs/>
          <w:i/>
          <w:sz w:val="22"/>
          <w:szCs w:val="22"/>
        </w:rPr>
        <w:t xml:space="preserve">L’Indice d’orientation agricole des dépenses publiques </w:t>
      </w:r>
      <w:r w:rsidR="00DD6D95" w:rsidRPr="00E872CF">
        <w:rPr>
          <w:rFonts w:ascii="Times New Roman" w:hAnsi="Times New Roman" w:cs="Times New Roman"/>
          <w:b/>
          <w:bCs/>
          <w:i/>
          <w:sz w:val="22"/>
          <w:szCs w:val="22"/>
        </w:rPr>
        <w:t>(</w:t>
      </w:r>
      <w:r w:rsidRPr="00E872CF">
        <w:rPr>
          <w:rFonts w:ascii="Times New Roman" w:hAnsi="Times New Roman" w:cs="Times New Roman"/>
          <w:b/>
          <w:bCs/>
          <w:i/>
          <w:sz w:val="22"/>
          <w:szCs w:val="22"/>
        </w:rPr>
        <w:t>Indicateur (2.a.1)</w:t>
      </w:r>
      <w:r w:rsidRPr="00E872CF">
        <w:rPr>
          <w:rFonts w:ascii="Times New Roman" w:eastAsia="Calibri" w:hAnsi="Times New Roman" w:cs="Times New Roman"/>
          <w:sz w:val="22"/>
          <w:szCs w:val="22"/>
        </w:rPr>
        <w:t xml:space="preserve"> </w:t>
      </w:r>
      <w:r w:rsidR="00DD6D95" w:rsidRPr="00E872CF">
        <w:rPr>
          <w:rFonts w:ascii="Times New Roman" w:eastAsia="Calibri" w:hAnsi="Times New Roman" w:cs="Times New Roman"/>
          <w:sz w:val="22"/>
          <w:szCs w:val="22"/>
        </w:rPr>
        <w:t>est passé</w:t>
      </w:r>
      <w:r w:rsidRPr="00E872CF">
        <w:rPr>
          <w:rFonts w:ascii="Times New Roman" w:hAnsi="Times New Roman" w:cs="Times New Roman"/>
          <w:sz w:val="22"/>
          <w:szCs w:val="22"/>
        </w:rPr>
        <w:t xml:space="preserve"> de 11,7 en 2015 à 13,35 en 2016 (RNV 2021).</w:t>
      </w:r>
    </w:p>
    <w:p w14:paraId="5C00EEB6" w14:textId="77777777" w:rsidR="0028280C" w:rsidRPr="005A5E5B"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E872CF">
        <w:rPr>
          <w:rFonts w:ascii="Times New Roman" w:hAnsi="Times New Roman" w:cs="Times New Roman"/>
          <w:b/>
          <w:i/>
          <w:sz w:val="22"/>
          <w:szCs w:val="22"/>
        </w:rPr>
        <w:t xml:space="preserve">ODD2 : Le total des apports publics (aide publique </w:t>
      </w:r>
      <w:r w:rsidRPr="005A5E5B">
        <w:rPr>
          <w:rFonts w:ascii="Times New Roman" w:hAnsi="Times New Roman" w:cs="Times New Roman"/>
          <w:b/>
          <w:i/>
          <w:sz w:val="22"/>
          <w:szCs w:val="22"/>
        </w:rPr>
        <w:t>au développement plus autres apports publics) alloués au secteur agricole (cible 2.a)</w:t>
      </w:r>
      <w:r w:rsidRPr="005A5E5B">
        <w:rPr>
          <w:rStyle w:val="Appelnotedebasdep"/>
          <w:rFonts w:ascii="Times New Roman" w:hAnsi="Times New Roman" w:cs="Times New Roman"/>
          <w:b/>
          <w:bCs/>
          <w:i/>
          <w:iCs/>
          <w:color w:val="000000"/>
          <w:sz w:val="22"/>
          <w:szCs w:val="22"/>
        </w:rPr>
        <w:footnoteReference w:id="91"/>
      </w:r>
      <w:r w:rsidRPr="005A5E5B">
        <w:rPr>
          <w:rFonts w:ascii="Times New Roman" w:hAnsi="Times New Roman" w:cs="Times New Roman"/>
          <w:sz w:val="22"/>
          <w:szCs w:val="22"/>
        </w:rPr>
        <w:t> </w:t>
      </w:r>
      <w:r>
        <w:rPr>
          <w:rFonts w:ascii="Times New Roman" w:hAnsi="Times New Roman" w:cs="Times New Roman"/>
          <w:sz w:val="22"/>
          <w:szCs w:val="22"/>
        </w:rPr>
        <w:t>(</w:t>
      </w:r>
      <w:r>
        <w:rPr>
          <w:rFonts w:ascii="Times New Roman" w:hAnsi="Times New Roman" w:cs="Times New Roman"/>
          <w:b/>
          <w:i/>
          <w:sz w:val="22"/>
          <w:szCs w:val="22"/>
        </w:rPr>
        <w:t xml:space="preserve">Indicateur 2.a.2) </w:t>
      </w:r>
      <w:r w:rsidRPr="005A5E5B">
        <w:rPr>
          <w:rFonts w:ascii="Times New Roman" w:hAnsi="Times New Roman" w:cs="Times New Roman"/>
          <w:sz w:val="22"/>
          <w:szCs w:val="22"/>
        </w:rPr>
        <w:t>est passé de 171,88 millions de dollars US à 282,01 millions de dollars US, avec un pic de 423,17 millions de dollars US en 2016 en lien avec les efforts réalisés dans le cadre de la mise en œuvre de la stratégie de l’initiative 3N (RNV 202).</w:t>
      </w:r>
    </w:p>
    <w:p w14:paraId="2AD2A17F" w14:textId="77777777" w:rsidR="0028280C" w:rsidRPr="00E872CF"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5A5E5B">
        <w:rPr>
          <w:rFonts w:ascii="Times New Roman" w:hAnsi="Times New Roman" w:cs="Times New Roman"/>
          <w:sz w:val="22"/>
          <w:szCs w:val="22"/>
        </w:rPr>
        <w:t xml:space="preserve">En ce qui </w:t>
      </w:r>
      <w:r w:rsidRPr="00E872CF">
        <w:rPr>
          <w:rFonts w:ascii="Times New Roman" w:hAnsi="Times New Roman" w:cs="Times New Roman"/>
          <w:sz w:val="22"/>
          <w:szCs w:val="22"/>
        </w:rPr>
        <w:t xml:space="preserve">concerne </w:t>
      </w:r>
      <w:r w:rsidRPr="00E872CF">
        <w:rPr>
          <w:rFonts w:ascii="Times New Roman" w:hAnsi="Times New Roman" w:cs="Times New Roman"/>
          <w:b/>
          <w:i/>
          <w:sz w:val="22"/>
          <w:szCs w:val="22"/>
        </w:rPr>
        <w:t>l’indicateur 2.b.1 : Estimation du soutien à la production Agricole, l’indicateur 2.b.2 : Subventions à l’exportation dans le secteur agricole et l’indicateur 2.c.1 : Indicateur des anomalies tarifaires pour les denrées alimentaires</w:t>
      </w:r>
      <w:r w:rsidRPr="00E872CF">
        <w:rPr>
          <w:rFonts w:ascii="Times New Roman" w:hAnsi="Times New Roman" w:cs="Times New Roman"/>
          <w:sz w:val="22"/>
          <w:szCs w:val="22"/>
        </w:rPr>
        <w:t>, aucune donnée n’est disponible pour apprécier les progrès réalisés.</w:t>
      </w:r>
      <w:bookmarkStart w:id="336" w:name="_Toc80254375"/>
      <w:bookmarkStart w:id="337" w:name="_Toc86161111"/>
    </w:p>
    <w:bookmarkEnd w:id="336"/>
    <w:bookmarkEnd w:id="337"/>
    <w:p w14:paraId="6D8A55C2" w14:textId="41E3C68C" w:rsidR="0028280C" w:rsidRPr="008177F8" w:rsidRDefault="0028280C" w:rsidP="0028280C">
      <w:pPr>
        <w:pStyle w:val="Corpsdetexte"/>
      </w:pPr>
      <w:r w:rsidRPr="00E872CF">
        <w:rPr>
          <w:color w:val="auto"/>
        </w:rPr>
        <w:t xml:space="preserve">Les progrès enregistrés </w:t>
      </w:r>
      <w:r>
        <w:t xml:space="preserve">vers l’atteinte de </w:t>
      </w:r>
      <w:r w:rsidRPr="00E15712">
        <w:rPr>
          <w:b/>
          <w:i/>
        </w:rPr>
        <w:t>l’ODD 13 « Prendre des mesures pour lutter contre les changements climatiques et leurs répercussions »</w:t>
      </w:r>
      <w:r>
        <w:t xml:space="preserve"> </w:t>
      </w:r>
      <w:r w:rsidRPr="008177F8">
        <w:t xml:space="preserve">peuvent se résumer </w:t>
      </w:r>
      <w:r w:rsidR="00DD6D95">
        <w:t>comme</w:t>
      </w:r>
      <w:r w:rsidRPr="008177F8">
        <w:t xml:space="preserve"> suit :</w:t>
      </w:r>
    </w:p>
    <w:p w14:paraId="6F08DE66" w14:textId="0E47E3C3" w:rsidR="0028280C" w:rsidRPr="00E872CF"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E15712">
        <w:rPr>
          <w:rFonts w:ascii="Times New Roman" w:hAnsi="Times New Roman" w:cs="Times New Roman"/>
          <w:b/>
          <w:i/>
          <w:sz w:val="22"/>
          <w:szCs w:val="22"/>
        </w:rPr>
        <w:t>ODD 13 :</w:t>
      </w:r>
      <w:r>
        <w:rPr>
          <w:b/>
          <w:i/>
          <w:sz w:val="22"/>
          <w:szCs w:val="22"/>
        </w:rPr>
        <w:t xml:space="preserve"> </w:t>
      </w:r>
      <w:r>
        <w:rPr>
          <w:rFonts w:ascii="Times New Roman" w:hAnsi="Times New Roman" w:cs="Times New Roman"/>
          <w:b/>
          <w:bCs/>
          <w:i/>
          <w:iCs/>
          <w:sz w:val="22"/>
          <w:szCs w:val="22"/>
        </w:rPr>
        <w:t>S’agissant de cet indicateur « </w:t>
      </w:r>
      <w:r w:rsidRPr="00B17EAA">
        <w:rPr>
          <w:rFonts w:ascii="Times New Roman" w:hAnsi="Times New Roman" w:cs="Times New Roman"/>
          <w:b/>
          <w:bCs/>
          <w:i/>
          <w:iCs/>
          <w:sz w:val="22"/>
          <w:szCs w:val="22"/>
        </w:rPr>
        <w:t>Nombre de pays ayant mis en place des stratégies nationales et locales pour la réduction des risques de catastrophe (</w:t>
      </w:r>
      <w:r>
        <w:rPr>
          <w:rFonts w:ascii="Times New Roman" w:hAnsi="Times New Roman" w:cs="Times New Roman"/>
          <w:b/>
          <w:bCs/>
          <w:i/>
          <w:iCs/>
          <w:sz w:val="22"/>
          <w:szCs w:val="22"/>
        </w:rPr>
        <w:t xml:space="preserve">Indicateur 13.1.1, </w:t>
      </w:r>
      <w:r w:rsidRPr="00B17EAA">
        <w:rPr>
          <w:rFonts w:ascii="Times New Roman" w:hAnsi="Times New Roman" w:cs="Times New Roman"/>
          <w:b/>
          <w:bCs/>
          <w:i/>
          <w:iCs/>
          <w:sz w:val="22"/>
          <w:szCs w:val="22"/>
        </w:rPr>
        <w:t>Cible 13.1)</w:t>
      </w:r>
      <w:r w:rsidRPr="00B17EAA">
        <w:rPr>
          <w:rStyle w:val="Appelnotedebasdep"/>
          <w:rFonts w:ascii="Times New Roman" w:hAnsi="Times New Roman" w:cs="Times New Roman"/>
          <w:b/>
          <w:bCs/>
          <w:i/>
          <w:iCs/>
          <w:sz w:val="22"/>
          <w:szCs w:val="22"/>
        </w:rPr>
        <w:footnoteReference w:id="92"/>
      </w:r>
      <w:r>
        <w:rPr>
          <w:rFonts w:ascii="Times New Roman" w:hAnsi="Times New Roman" w:cs="Times New Roman"/>
          <w:b/>
          <w:bCs/>
          <w:i/>
          <w:iCs/>
          <w:sz w:val="22"/>
          <w:szCs w:val="22"/>
        </w:rPr>
        <w:t> », l</w:t>
      </w:r>
      <w:r w:rsidRPr="00B17EAA">
        <w:rPr>
          <w:rFonts w:ascii="Times New Roman" w:hAnsi="Times New Roman" w:cs="Times New Roman"/>
          <w:sz w:val="22"/>
          <w:szCs w:val="22"/>
        </w:rPr>
        <w:t xml:space="preserve">e Niger s’est doté d’une batterie de textes juridiques et institutionnels en matière de RRC. On peut citer entre autres (i) </w:t>
      </w:r>
      <w:r w:rsidR="00DD6D95">
        <w:rPr>
          <w:rFonts w:ascii="Times New Roman" w:hAnsi="Times New Roman" w:cs="Times New Roman"/>
          <w:sz w:val="22"/>
          <w:szCs w:val="22"/>
        </w:rPr>
        <w:t>La s</w:t>
      </w:r>
      <w:r w:rsidRPr="00B17EAA">
        <w:rPr>
          <w:rFonts w:ascii="Times New Roman" w:hAnsi="Times New Roman" w:cs="Times New Roman"/>
          <w:sz w:val="22"/>
          <w:szCs w:val="22"/>
        </w:rPr>
        <w:t xml:space="preserve">tratégie Nationale de Réduction des Risques et Catastrophes (SNRRC) mise en œuvre depuis 2013, (ii) en 2017, le Plan National d’Adaptation à long terme (PNA), (iii) </w:t>
      </w:r>
      <w:r w:rsidR="00DD6D95">
        <w:rPr>
          <w:rFonts w:ascii="Times New Roman" w:hAnsi="Times New Roman" w:cs="Times New Roman"/>
          <w:sz w:val="22"/>
          <w:szCs w:val="22"/>
        </w:rPr>
        <w:t>U</w:t>
      </w:r>
      <w:r w:rsidRPr="00B17EAA">
        <w:rPr>
          <w:rFonts w:ascii="Times New Roman" w:hAnsi="Times New Roman" w:cs="Times New Roman"/>
          <w:sz w:val="22"/>
          <w:szCs w:val="22"/>
        </w:rPr>
        <w:t>n ministère en charge de l’action humanitaire et de la gestion des catastrophes a été créé en 2017 pour renforcer cette volonté politique (RNV ODD 2020),</w:t>
      </w:r>
      <w:r w:rsidR="00DD6D95">
        <w:rPr>
          <w:rFonts w:ascii="Times New Roman" w:hAnsi="Times New Roman" w:cs="Times New Roman"/>
          <w:sz w:val="22"/>
          <w:szCs w:val="22"/>
        </w:rPr>
        <w:t xml:space="preserve"> (iv) U</w:t>
      </w:r>
      <w:r w:rsidRPr="00B17EAA">
        <w:rPr>
          <w:rFonts w:ascii="Times New Roman" w:hAnsi="Times New Roman" w:cs="Times New Roman"/>
          <w:sz w:val="22"/>
          <w:szCs w:val="22"/>
        </w:rPr>
        <w:t>ne Politique Nationale sur les Changements Climatiques (PNC</w:t>
      </w:r>
      <w:r w:rsidR="00DD6D95">
        <w:rPr>
          <w:rFonts w:ascii="Times New Roman" w:hAnsi="Times New Roman" w:cs="Times New Roman"/>
          <w:sz w:val="22"/>
          <w:szCs w:val="22"/>
        </w:rPr>
        <w:t>C), et son Plan d’Actions, (v) U</w:t>
      </w:r>
      <w:r w:rsidRPr="00B17EAA">
        <w:rPr>
          <w:rFonts w:ascii="Times New Roman" w:hAnsi="Times New Roman" w:cs="Times New Roman"/>
          <w:sz w:val="22"/>
          <w:szCs w:val="22"/>
        </w:rPr>
        <w:t>ne Politique Nationale de l’Action Humanitaire et de G</w:t>
      </w:r>
      <w:r w:rsidR="00DD6D95">
        <w:rPr>
          <w:rFonts w:ascii="Times New Roman" w:hAnsi="Times New Roman" w:cs="Times New Roman"/>
          <w:sz w:val="22"/>
          <w:szCs w:val="22"/>
        </w:rPr>
        <w:t>estion des Catastrophes, (vii) U</w:t>
      </w:r>
      <w:r w:rsidRPr="00B17EAA">
        <w:rPr>
          <w:rFonts w:ascii="Times New Roman" w:hAnsi="Times New Roman" w:cs="Times New Roman"/>
          <w:sz w:val="22"/>
          <w:szCs w:val="22"/>
        </w:rPr>
        <w:t xml:space="preserve">n Plan National d’Adaptation sur les Changements Climatiques (PNAH/GC), </w:t>
      </w:r>
      <w:r w:rsidR="00DD6D95">
        <w:rPr>
          <w:rFonts w:ascii="Times New Roman" w:hAnsi="Times New Roman" w:cs="Times New Roman"/>
          <w:sz w:val="22"/>
          <w:szCs w:val="22"/>
        </w:rPr>
        <w:t>(viii) L</w:t>
      </w:r>
      <w:r w:rsidRPr="00B17EAA">
        <w:rPr>
          <w:rFonts w:ascii="Times New Roman" w:hAnsi="Times New Roman" w:cs="Times New Roman"/>
          <w:sz w:val="22"/>
          <w:szCs w:val="22"/>
        </w:rPr>
        <w:t xml:space="preserve">a loi n°2018-74 relative à la protection et à l’assistance aux personnes déplacées internes adoptée le 10 décembre 2018 ainsi que plusieurs autres </w:t>
      </w:r>
      <w:r w:rsidRPr="00E872CF">
        <w:rPr>
          <w:rFonts w:ascii="Times New Roman" w:hAnsi="Times New Roman" w:cs="Times New Roman"/>
          <w:sz w:val="22"/>
          <w:szCs w:val="22"/>
        </w:rPr>
        <w:t>documents et plans y afférents.</w:t>
      </w:r>
      <w:r w:rsidRPr="00E872CF">
        <w:rPr>
          <w:rStyle w:val="Appelnotedebasdep"/>
          <w:rFonts w:ascii="Times New Roman" w:hAnsi="Times New Roman" w:cs="Times New Roman"/>
          <w:sz w:val="22"/>
          <w:szCs w:val="22"/>
        </w:rPr>
        <w:footnoteReference w:id="93"/>
      </w:r>
    </w:p>
    <w:p w14:paraId="4248D0B0" w14:textId="57A81A0C" w:rsidR="0028280C" w:rsidRPr="00E872CF" w:rsidRDefault="0028280C" w:rsidP="00EF7E8E">
      <w:pPr>
        <w:pStyle w:val="Corpsdetexte3"/>
        <w:pBdr>
          <w:top w:val="single" w:sz="4" w:space="1" w:color="auto"/>
          <w:left w:val="single" w:sz="4" w:space="4" w:color="auto"/>
          <w:bottom w:val="single" w:sz="4" w:space="1" w:color="auto"/>
          <w:right w:val="single" w:sz="4" w:space="4" w:color="auto"/>
        </w:pBdr>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E872CF">
        <w:rPr>
          <w:rFonts w:ascii="Times New Roman" w:hAnsi="Times New Roman" w:cs="Times New Roman"/>
          <w:b/>
          <w:i/>
          <w:sz w:val="22"/>
          <w:szCs w:val="22"/>
        </w:rPr>
        <w:t>ODD 13</w:t>
      </w:r>
      <w:r w:rsidRPr="00E872CF">
        <w:rPr>
          <w:b/>
          <w:i/>
        </w:rPr>
        <w:t xml:space="preserve"> :  </w:t>
      </w:r>
      <w:r w:rsidRPr="00E872CF">
        <w:rPr>
          <w:rFonts w:ascii="Times New Roman" w:hAnsi="Times New Roman" w:cs="Times New Roman"/>
          <w:b/>
          <w:bCs/>
          <w:i/>
          <w:iCs/>
          <w:sz w:val="22"/>
          <w:szCs w:val="22"/>
        </w:rPr>
        <w:t xml:space="preserve">Le nombre de décès, de disparus et de victimes suite à des catastrophes, pour 100 000 personnes (Indicateur 13.1.2, </w:t>
      </w:r>
      <w:bookmarkStart w:id="338" w:name="_Hlk81387833"/>
      <w:r w:rsidRPr="00E872CF">
        <w:rPr>
          <w:rFonts w:ascii="Times New Roman" w:hAnsi="Times New Roman" w:cs="Times New Roman"/>
          <w:b/>
          <w:bCs/>
          <w:i/>
          <w:iCs/>
          <w:sz w:val="22"/>
          <w:szCs w:val="22"/>
        </w:rPr>
        <w:t xml:space="preserve">cible 13.1) </w:t>
      </w:r>
      <w:r w:rsidRPr="00E872CF">
        <w:rPr>
          <w:rFonts w:ascii="Times New Roman" w:hAnsi="Times New Roman" w:cs="Times New Roman"/>
          <w:bCs/>
          <w:iCs/>
          <w:sz w:val="22"/>
          <w:szCs w:val="22"/>
        </w:rPr>
        <w:t>a augmenté parce que l</w:t>
      </w:r>
      <w:r w:rsidRPr="00E872CF">
        <w:rPr>
          <w:rFonts w:ascii="Times New Roman" w:hAnsi="Times New Roman" w:cs="Times New Roman"/>
          <w:sz w:val="22"/>
          <w:szCs w:val="22"/>
        </w:rPr>
        <w:t xml:space="preserve">e pays a enregistré des dégâts énormes suite aux catastrophes au cours de ces dernières années. </w:t>
      </w:r>
      <w:r w:rsidR="00E872CF" w:rsidRPr="00E872CF">
        <w:rPr>
          <w:rFonts w:ascii="Times New Roman" w:hAnsi="Times New Roman" w:cs="Times New Roman"/>
          <w:sz w:val="22"/>
          <w:szCs w:val="22"/>
        </w:rPr>
        <w:t>Aucune donnée récente</w:t>
      </w:r>
      <w:r w:rsidRPr="00E872CF">
        <w:rPr>
          <w:rFonts w:ascii="Times New Roman" w:hAnsi="Times New Roman" w:cs="Times New Roman"/>
          <w:sz w:val="22"/>
          <w:szCs w:val="22"/>
        </w:rPr>
        <w:t xml:space="preserve"> </w:t>
      </w:r>
    </w:p>
    <w:p w14:paraId="7E7ABD7C" w14:textId="41A55597" w:rsidR="0028280C" w:rsidRPr="00B17EAA"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E872CF">
        <w:rPr>
          <w:rFonts w:ascii="Times New Roman" w:hAnsi="Times New Roman" w:cs="Times New Roman"/>
          <w:sz w:val="22"/>
          <w:szCs w:val="22"/>
        </w:rPr>
        <w:t>En 2018, le nombre de victimes était de 710 pour 100 000 habitants avec 40 décès, 19.310 ménages sin</w:t>
      </w:r>
      <w:r w:rsidR="00DD6D95" w:rsidRPr="00E872CF">
        <w:rPr>
          <w:rFonts w:ascii="Times New Roman" w:hAnsi="Times New Roman" w:cs="Times New Roman"/>
          <w:sz w:val="22"/>
          <w:szCs w:val="22"/>
        </w:rPr>
        <w:t xml:space="preserve">istrés soit 142.715 personnes, </w:t>
      </w:r>
      <w:r w:rsidRPr="00E872CF">
        <w:rPr>
          <w:rFonts w:ascii="Times New Roman" w:hAnsi="Times New Roman" w:cs="Times New Roman"/>
          <w:sz w:val="22"/>
          <w:szCs w:val="22"/>
        </w:rPr>
        <w:t xml:space="preserve">5.497 maisons effondrées et 829 animaux </w:t>
      </w:r>
      <w:r w:rsidRPr="00B17EAA">
        <w:rPr>
          <w:rFonts w:ascii="Times New Roman" w:hAnsi="Times New Roman" w:cs="Times New Roman"/>
          <w:sz w:val="22"/>
          <w:szCs w:val="22"/>
        </w:rPr>
        <w:t>morts. En 2019, le nombre de sinistrés des inondations étaient environ de 350 si</w:t>
      </w:r>
      <w:r>
        <w:rPr>
          <w:rFonts w:ascii="Times New Roman" w:hAnsi="Times New Roman" w:cs="Times New Roman"/>
          <w:sz w:val="22"/>
          <w:szCs w:val="22"/>
        </w:rPr>
        <w:t>nistrés pour 100 000 habitants. I</w:t>
      </w:r>
      <w:r w:rsidRPr="00B17EAA">
        <w:rPr>
          <w:rFonts w:ascii="Times New Roman" w:hAnsi="Times New Roman" w:cs="Times New Roman"/>
          <w:sz w:val="22"/>
          <w:szCs w:val="22"/>
        </w:rPr>
        <w:t>l y a eu 42 pertes en vie humaine, 8.624 ménages sinistrés, totalisant 69.381 personnes</w:t>
      </w:r>
      <w:r>
        <w:rPr>
          <w:rFonts w:ascii="Times New Roman" w:hAnsi="Times New Roman" w:cs="Times New Roman"/>
          <w:sz w:val="22"/>
          <w:szCs w:val="22"/>
        </w:rPr>
        <w:t xml:space="preserve"> victimes </w:t>
      </w:r>
      <w:r w:rsidRPr="00B17EAA">
        <w:rPr>
          <w:rFonts w:ascii="Times New Roman" w:hAnsi="Times New Roman" w:cs="Times New Roman"/>
          <w:sz w:val="22"/>
          <w:szCs w:val="22"/>
        </w:rPr>
        <w:t xml:space="preserve">et 8.943 têtes de bétail perdues. En plus, en 2019, 3519,214 ha de terres agricoles de cultures ont été perdus. En 2020, au total 16714 animaux morts, 14401 ha des terres agricoles ont été perdus. Ainsi, entre 2018 et 2020, le nombre </w:t>
      </w:r>
      <w:r w:rsidRPr="00B17EAA">
        <w:rPr>
          <w:rFonts w:ascii="Times New Roman" w:hAnsi="Times New Roman" w:cs="Times New Roman"/>
          <w:sz w:val="22"/>
          <w:szCs w:val="22"/>
        </w:rPr>
        <w:lastRenderedPageBreak/>
        <w:t>de personnes victimes des inondations</w:t>
      </w:r>
      <w:r w:rsidR="00DD6D95">
        <w:rPr>
          <w:rFonts w:ascii="Times New Roman" w:hAnsi="Times New Roman" w:cs="Times New Roman"/>
          <w:sz w:val="22"/>
          <w:szCs w:val="22"/>
        </w:rPr>
        <w:t xml:space="preserve"> a connu une évolution croissant</w:t>
      </w:r>
      <w:r w:rsidRPr="00B17EAA">
        <w:rPr>
          <w:rFonts w:ascii="Times New Roman" w:hAnsi="Times New Roman" w:cs="Times New Roman"/>
          <w:sz w:val="22"/>
          <w:szCs w:val="22"/>
        </w:rPr>
        <w:t>e passant resp</w:t>
      </w:r>
      <w:r w:rsidR="00DD6D95">
        <w:rPr>
          <w:rFonts w:ascii="Times New Roman" w:hAnsi="Times New Roman" w:cs="Times New Roman"/>
          <w:sz w:val="22"/>
          <w:szCs w:val="22"/>
        </w:rPr>
        <w:t>ectivement de 142 715 à 639 870</w:t>
      </w:r>
      <w:r w:rsidRPr="00B17EAA">
        <w:rPr>
          <w:rFonts w:ascii="Times New Roman" w:hAnsi="Times New Roman" w:cs="Times New Roman"/>
          <w:sz w:val="22"/>
          <w:szCs w:val="22"/>
        </w:rPr>
        <w:t>. Quant au nombre de décès, il a aussi augmenté de 62,5%.</w:t>
      </w:r>
      <w:r w:rsidRPr="00B17EAA">
        <w:rPr>
          <w:rStyle w:val="Appelnotedebasdep"/>
          <w:rFonts w:ascii="Times New Roman" w:hAnsi="Times New Roman" w:cs="Times New Roman"/>
          <w:sz w:val="22"/>
          <w:szCs w:val="22"/>
        </w:rPr>
        <w:footnoteReference w:id="94"/>
      </w:r>
      <w:r w:rsidRPr="00B17EAA">
        <w:rPr>
          <w:rFonts w:ascii="Times New Roman" w:hAnsi="Times New Roman" w:cs="Times New Roman"/>
          <w:sz w:val="22"/>
          <w:szCs w:val="22"/>
        </w:rPr>
        <w:t xml:space="preserve"> </w:t>
      </w:r>
      <w:bookmarkEnd w:id="338"/>
    </w:p>
    <w:p w14:paraId="45C43E2D" w14:textId="77777777" w:rsidR="0028280C" w:rsidRPr="00B17EAA"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Pr>
          <w:rFonts w:ascii="Times New Roman" w:hAnsi="Times New Roman" w:cs="Times New Roman"/>
          <w:b/>
          <w:i/>
          <w:sz w:val="22"/>
          <w:szCs w:val="22"/>
        </w:rPr>
        <w:t>ODD 13 : En ce qui concerne le n</w:t>
      </w:r>
      <w:r w:rsidRPr="00B17EAA">
        <w:rPr>
          <w:rFonts w:ascii="Times New Roman" w:hAnsi="Times New Roman" w:cs="Times New Roman"/>
          <w:b/>
          <w:i/>
          <w:sz w:val="22"/>
          <w:szCs w:val="22"/>
        </w:rPr>
        <w:t>ombre de pays ayant intégré dans leurs programmes d’enseignement primaire, secondaire et tertiaire les questions relatives à l’adaptation aux changements climatiques, à l’atténuation des effets de ces changements et à la réduction de leur impact, ainsi qu’aux systèmes d’alerte rapide</w:t>
      </w:r>
      <w:r>
        <w:rPr>
          <w:rFonts w:ascii="Times New Roman" w:hAnsi="Times New Roman" w:cs="Times New Roman"/>
          <w:b/>
          <w:i/>
          <w:sz w:val="22"/>
          <w:szCs w:val="22"/>
        </w:rPr>
        <w:t xml:space="preserve"> (</w:t>
      </w:r>
      <w:r w:rsidRPr="00B17EAA">
        <w:rPr>
          <w:rFonts w:ascii="Times New Roman" w:hAnsi="Times New Roman" w:cs="Times New Roman"/>
          <w:b/>
          <w:i/>
          <w:sz w:val="22"/>
          <w:szCs w:val="22"/>
        </w:rPr>
        <w:t>Indicateur 13.3</w:t>
      </w:r>
      <w:r>
        <w:rPr>
          <w:rFonts w:ascii="Times New Roman" w:hAnsi="Times New Roman" w:cs="Times New Roman"/>
          <w:b/>
          <w:i/>
          <w:sz w:val="22"/>
          <w:szCs w:val="22"/>
        </w:rPr>
        <w:t>.1), a</w:t>
      </w:r>
      <w:r w:rsidRPr="00B17EAA">
        <w:rPr>
          <w:rFonts w:ascii="Times New Roman" w:hAnsi="Times New Roman" w:cs="Times New Roman"/>
          <w:sz w:val="22"/>
          <w:szCs w:val="22"/>
        </w:rPr>
        <w:t>u Niger, il existe effectivement des programmes d’enseignement prenant en compte ces nouvelles thématiques. Dans la région de Diffa, l’université de la région est spécialisée dans ce domaine.</w:t>
      </w:r>
      <w:r w:rsidRPr="00B17EAA">
        <w:rPr>
          <w:rStyle w:val="Appelnotedebasdep"/>
          <w:rFonts w:ascii="Times New Roman" w:hAnsi="Times New Roman" w:cs="Times New Roman"/>
          <w:sz w:val="22"/>
          <w:szCs w:val="22"/>
        </w:rPr>
        <w:footnoteReference w:id="95"/>
      </w:r>
      <w:r w:rsidRPr="00B17EAA">
        <w:rPr>
          <w:rFonts w:ascii="Times New Roman" w:hAnsi="Times New Roman" w:cs="Times New Roman"/>
          <w:sz w:val="22"/>
          <w:szCs w:val="22"/>
        </w:rPr>
        <w:t xml:space="preserve"> En plus, la RRC est intégrée dans les curricula des établissements primaires et des inspecteurs de l’enseignement ont été formés dans le domaine.</w:t>
      </w:r>
      <w:r w:rsidRPr="00B17EAA">
        <w:rPr>
          <w:rStyle w:val="Appelnotedebasdep"/>
          <w:rFonts w:ascii="Times New Roman" w:hAnsi="Times New Roman" w:cs="Times New Roman"/>
          <w:sz w:val="22"/>
          <w:szCs w:val="22"/>
        </w:rPr>
        <w:footnoteReference w:id="96"/>
      </w:r>
    </w:p>
    <w:p w14:paraId="14920F34" w14:textId="3FF41621" w:rsidR="0028280C" w:rsidRPr="00C56D46" w:rsidRDefault="00DD6D95"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Pr>
          <w:rFonts w:ascii="Times New Roman" w:hAnsi="Times New Roman" w:cs="Times New Roman"/>
          <w:b/>
          <w:i/>
          <w:sz w:val="22"/>
          <w:szCs w:val="22"/>
        </w:rPr>
        <w:t xml:space="preserve">ODD 13 : S’agissant du </w:t>
      </w:r>
      <w:r w:rsidR="0028280C">
        <w:rPr>
          <w:rFonts w:ascii="Times New Roman" w:hAnsi="Times New Roman" w:cs="Times New Roman"/>
          <w:b/>
          <w:i/>
          <w:sz w:val="22"/>
          <w:szCs w:val="22"/>
        </w:rPr>
        <w:t>no</w:t>
      </w:r>
      <w:r w:rsidR="0028280C" w:rsidRPr="00B17EAA">
        <w:rPr>
          <w:rFonts w:ascii="Times New Roman" w:hAnsi="Times New Roman" w:cs="Times New Roman"/>
          <w:b/>
          <w:i/>
          <w:sz w:val="22"/>
          <w:szCs w:val="22"/>
        </w:rPr>
        <w:t>mbre de pays ayant fait état du renforcement de leurs capacités institutionnelles, systémiques et individuelles pour favoriser les mesures d’adaptation et d’atténuation, le transfert de technologie et les actions en faveur du développement</w:t>
      </w:r>
      <w:r w:rsidR="0028280C">
        <w:rPr>
          <w:rFonts w:ascii="Times New Roman" w:hAnsi="Times New Roman" w:cs="Times New Roman"/>
          <w:sz w:val="22"/>
          <w:szCs w:val="22"/>
        </w:rPr>
        <w:t xml:space="preserve"> (</w:t>
      </w:r>
      <w:r w:rsidR="0028280C">
        <w:rPr>
          <w:rFonts w:ascii="Times New Roman" w:hAnsi="Times New Roman" w:cs="Times New Roman"/>
          <w:b/>
          <w:i/>
          <w:sz w:val="22"/>
          <w:szCs w:val="22"/>
        </w:rPr>
        <w:t xml:space="preserve">Indicateur 13.3.2), </w:t>
      </w:r>
      <w:r w:rsidR="0028280C">
        <w:rPr>
          <w:rFonts w:ascii="Times New Roman" w:hAnsi="Times New Roman" w:cs="Times New Roman"/>
          <w:sz w:val="22"/>
          <w:szCs w:val="22"/>
        </w:rPr>
        <w:t>a</w:t>
      </w:r>
      <w:r w:rsidR="0028280C" w:rsidRPr="00B17EAA">
        <w:rPr>
          <w:rFonts w:ascii="Times New Roman" w:hAnsi="Times New Roman" w:cs="Times New Roman"/>
          <w:sz w:val="22"/>
          <w:szCs w:val="22"/>
        </w:rPr>
        <w:t>u Niger, dans le cadre de la mise en œuvre de la Stratégie Nationale de Réduction des Risques et Catastrophes (SNRRC), plusieurs dispositifs institutionnels et organisationnels ont été mise en place notamment la Plateforme Nationale et de Réduction des Risques de catastrophes et les Plateformes Régionales.</w:t>
      </w:r>
      <w:r w:rsidR="0028280C" w:rsidRPr="00B17EAA">
        <w:rPr>
          <w:rStyle w:val="Appelnotedebasdep"/>
          <w:rFonts w:ascii="Times New Roman" w:hAnsi="Times New Roman" w:cs="Times New Roman"/>
          <w:sz w:val="22"/>
          <w:szCs w:val="22"/>
        </w:rPr>
        <w:footnoteReference w:id="97"/>
      </w:r>
    </w:p>
    <w:p w14:paraId="425E02FA" w14:textId="3951267A" w:rsidR="0028280C" w:rsidRPr="00B8327A" w:rsidRDefault="00DD6D95" w:rsidP="0028280C">
      <w:pPr>
        <w:pStyle w:val="Corpsdetexte001"/>
        <w:numPr>
          <w:ilvl w:val="0"/>
          <w:numId w:val="0"/>
        </w:numPr>
        <w:jc w:val="both"/>
      </w:pPr>
      <w:r>
        <w:rPr>
          <w:b w:val="0"/>
        </w:rPr>
        <w:t>Les progrès enregistré</w:t>
      </w:r>
      <w:r w:rsidR="0028280C" w:rsidRPr="00B8327A">
        <w:rPr>
          <w:b w:val="0"/>
        </w:rPr>
        <w:t>s vers l’atteinte de</w:t>
      </w:r>
      <w:r w:rsidR="0028280C">
        <w:t xml:space="preserve"> l’ODD 7 « </w:t>
      </w:r>
      <w:r w:rsidR="0028280C" w:rsidRPr="00B8327A">
        <w:t>Garantir</w:t>
      </w:r>
      <w:r w:rsidR="0028280C">
        <w:t xml:space="preserve"> l’accès de tous a des services </w:t>
      </w:r>
      <w:r w:rsidR="0028280C" w:rsidRPr="00B8327A">
        <w:t>énergétiques fiables, d</w:t>
      </w:r>
      <w:r w:rsidR="0028280C">
        <w:t xml:space="preserve">urables, modernes et abordables » </w:t>
      </w:r>
      <w:r w:rsidR="00AA2DFC">
        <w:rPr>
          <w:b w:val="0"/>
        </w:rPr>
        <w:t>se présentent  comme suit :</w:t>
      </w:r>
    </w:p>
    <w:p w14:paraId="2BA4F66E" w14:textId="43CD1AA2" w:rsidR="0028280C" w:rsidRPr="00E872CF"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bookmarkStart w:id="339" w:name="_Toc32505674"/>
      <w:bookmarkStart w:id="340" w:name="_Hlk80626258"/>
      <w:r>
        <w:rPr>
          <w:rFonts w:ascii="Times New Roman" w:hAnsi="Times New Roman" w:cs="Times New Roman"/>
          <w:b/>
          <w:bCs/>
          <w:i/>
          <w:sz w:val="22"/>
          <w:szCs w:val="22"/>
        </w:rPr>
        <w:t>ODD 7 : La p</w:t>
      </w:r>
      <w:r w:rsidRPr="00B8327A">
        <w:rPr>
          <w:rFonts w:ascii="Times New Roman" w:hAnsi="Times New Roman" w:cs="Times New Roman"/>
          <w:b/>
          <w:bCs/>
          <w:i/>
          <w:sz w:val="22"/>
          <w:szCs w:val="22"/>
        </w:rPr>
        <w:t xml:space="preserve">roportion de la population ayant accès à l’électricité (Indicateur </w:t>
      </w:r>
      <w:r w:rsidR="00953B61" w:rsidRPr="00B8327A">
        <w:rPr>
          <w:rFonts w:ascii="Times New Roman" w:hAnsi="Times New Roman" w:cs="Times New Roman"/>
          <w:b/>
          <w:bCs/>
          <w:i/>
          <w:sz w:val="22"/>
          <w:szCs w:val="22"/>
        </w:rPr>
        <w:t>7.1.1</w:t>
      </w:r>
      <w:r w:rsidR="00953B61">
        <w:rPr>
          <w:rFonts w:ascii="Times New Roman" w:hAnsi="Times New Roman" w:cs="Times New Roman"/>
          <w:i/>
          <w:sz w:val="22"/>
          <w:szCs w:val="22"/>
        </w:rPr>
        <w:t>)</w:t>
      </w:r>
      <w:r>
        <w:rPr>
          <w:rFonts w:ascii="Times New Roman" w:hAnsi="Times New Roman" w:cs="Times New Roman"/>
          <w:b/>
          <w:bCs/>
          <w:i/>
          <w:sz w:val="22"/>
          <w:szCs w:val="22"/>
        </w:rPr>
        <w:t xml:space="preserve"> </w:t>
      </w:r>
      <w:r w:rsidRPr="00B8327A">
        <w:rPr>
          <w:rFonts w:ascii="Times New Roman" w:hAnsi="Times New Roman" w:cs="Times New Roman"/>
          <w:bCs/>
          <w:sz w:val="22"/>
          <w:szCs w:val="22"/>
        </w:rPr>
        <w:t xml:space="preserve">se serait accrue </w:t>
      </w:r>
      <w:r w:rsidR="00AA2DFC">
        <w:rPr>
          <w:rFonts w:ascii="Times New Roman" w:hAnsi="Times New Roman" w:cs="Times New Roman"/>
          <w:bCs/>
          <w:sz w:val="22"/>
          <w:szCs w:val="22"/>
        </w:rPr>
        <w:t xml:space="preserve">à la suite de </w:t>
      </w:r>
      <w:r w:rsidRPr="00B8327A">
        <w:rPr>
          <w:rFonts w:ascii="Times New Roman" w:hAnsi="Times New Roman" w:cs="Times New Roman"/>
          <w:bCs/>
          <w:sz w:val="22"/>
          <w:szCs w:val="22"/>
        </w:rPr>
        <w:t>l</w:t>
      </w:r>
      <w:r w:rsidRPr="00B8327A">
        <w:rPr>
          <w:rFonts w:ascii="Times New Roman" w:hAnsi="Times New Roman" w:cs="Times New Roman"/>
          <w:sz w:val="22"/>
          <w:szCs w:val="22"/>
        </w:rPr>
        <w:t>a production d’électricité</w:t>
      </w:r>
      <w:r w:rsidR="00AA2DFC">
        <w:rPr>
          <w:rFonts w:ascii="Times New Roman" w:hAnsi="Times New Roman" w:cs="Times New Roman"/>
          <w:sz w:val="22"/>
          <w:szCs w:val="22"/>
        </w:rPr>
        <w:t xml:space="preserve"> qui</w:t>
      </w:r>
      <w:r w:rsidRPr="00B8327A">
        <w:rPr>
          <w:rFonts w:ascii="Times New Roman" w:hAnsi="Times New Roman" w:cs="Times New Roman"/>
          <w:sz w:val="22"/>
          <w:szCs w:val="22"/>
        </w:rPr>
        <w:t xml:space="preserve"> </w:t>
      </w:r>
      <w:r w:rsidR="00DD6D95" w:rsidRPr="00E872CF">
        <w:rPr>
          <w:rFonts w:ascii="Times New Roman" w:hAnsi="Times New Roman" w:cs="Times New Roman"/>
          <w:sz w:val="22"/>
          <w:szCs w:val="22"/>
        </w:rPr>
        <w:t>a augmenté</w:t>
      </w:r>
      <w:r w:rsidRPr="00E872CF">
        <w:rPr>
          <w:rFonts w:ascii="Times New Roman" w:hAnsi="Times New Roman" w:cs="Times New Roman"/>
          <w:sz w:val="22"/>
          <w:szCs w:val="22"/>
        </w:rPr>
        <w:t xml:space="preserve"> de 53% traduisant </w:t>
      </w:r>
      <w:r w:rsidR="00AA2DFC" w:rsidRPr="00E872CF">
        <w:rPr>
          <w:rFonts w:ascii="Times New Roman" w:hAnsi="Times New Roman" w:cs="Times New Roman"/>
          <w:sz w:val="22"/>
          <w:szCs w:val="22"/>
        </w:rPr>
        <w:t xml:space="preserve">ainsi </w:t>
      </w:r>
      <w:r w:rsidRPr="00E872CF">
        <w:rPr>
          <w:rFonts w:ascii="Times New Roman" w:hAnsi="Times New Roman" w:cs="Times New Roman"/>
          <w:sz w:val="22"/>
          <w:szCs w:val="22"/>
        </w:rPr>
        <w:t xml:space="preserve">une </w:t>
      </w:r>
      <w:r w:rsidR="007A4382" w:rsidRPr="00E872CF">
        <w:rPr>
          <w:rFonts w:ascii="Times New Roman" w:hAnsi="Times New Roman" w:cs="Times New Roman"/>
          <w:sz w:val="22"/>
          <w:szCs w:val="22"/>
        </w:rPr>
        <w:t xml:space="preserve">hausse </w:t>
      </w:r>
      <w:r w:rsidRPr="00E872CF">
        <w:rPr>
          <w:rFonts w:ascii="Times New Roman" w:hAnsi="Times New Roman" w:cs="Times New Roman"/>
          <w:sz w:val="22"/>
          <w:szCs w:val="22"/>
        </w:rPr>
        <w:t>de 270 MWH en 2011 à 412 MWH en 2015 (r</w:t>
      </w:r>
      <w:r w:rsidRPr="00E872CF">
        <w:rPr>
          <w:rFonts w:ascii="Times New Roman" w:eastAsia="Calibri" w:hAnsi="Times New Roman" w:cs="Times New Roman"/>
          <w:sz w:val="22"/>
          <w:szCs w:val="22"/>
        </w:rPr>
        <w:t>apport référence 2017).</w:t>
      </w:r>
    </w:p>
    <w:p w14:paraId="728EA9FB" w14:textId="66FC3558" w:rsidR="0028280C" w:rsidRPr="00E872CF" w:rsidRDefault="0028280C" w:rsidP="00EF7E8E">
      <w:pPr>
        <w:pStyle w:val="Corpsdetexte3"/>
        <w:pBdr>
          <w:top w:val="single" w:sz="4" w:space="1" w:color="auto"/>
          <w:left w:val="single" w:sz="4" w:space="4" w:color="auto"/>
          <w:bottom w:val="single" w:sz="4" w:space="1" w:color="auto"/>
          <w:right w:val="single" w:sz="4" w:space="4" w:color="auto"/>
        </w:pBdr>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E872CF">
        <w:rPr>
          <w:rFonts w:ascii="Times New Roman" w:hAnsi="Times New Roman" w:cs="Times New Roman"/>
          <w:b/>
          <w:i/>
          <w:sz w:val="22"/>
          <w:szCs w:val="22"/>
        </w:rPr>
        <w:t>ODD 7 : La</w:t>
      </w:r>
      <w:r w:rsidRPr="00E872CF">
        <w:rPr>
          <w:rFonts w:ascii="Times New Roman" w:hAnsi="Times New Roman" w:cs="Times New Roman"/>
          <w:sz w:val="22"/>
          <w:szCs w:val="22"/>
        </w:rPr>
        <w:t xml:space="preserve"> p</w:t>
      </w:r>
      <w:r w:rsidRPr="00E872CF">
        <w:rPr>
          <w:rFonts w:ascii="Times New Roman" w:hAnsi="Times New Roman" w:cs="Times New Roman"/>
          <w:b/>
          <w:bCs/>
          <w:i/>
          <w:sz w:val="22"/>
          <w:szCs w:val="22"/>
        </w:rPr>
        <w:t xml:space="preserve">roportion de la population utilisant principalement des carburants et technologies propre (Indicateur 7.1.2) notamment </w:t>
      </w:r>
      <w:r w:rsidRPr="00E872CF">
        <w:rPr>
          <w:rFonts w:ascii="Times New Roman" w:hAnsi="Times New Roman" w:cs="Times New Roman"/>
          <w:sz w:val="22"/>
          <w:szCs w:val="22"/>
        </w:rPr>
        <w:t>La proportion de la population utilisant des carburants et technologies propres est passée d’environ 3,7% en 2014 à 4,6% en 2018 (RNV 2020).</w:t>
      </w:r>
    </w:p>
    <w:p w14:paraId="661C0216" w14:textId="74975BE3" w:rsidR="0028280C" w:rsidRPr="00E872CF" w:rsidRDefault="0028280C" w:rsidP="00EF7E8E">
      <w:pPr>
        <w:pStyle w:val="Corpsdetexte3"/>
        <w:pBdr>
          <w:top w:val="single" w:sz="4" w:space="1" w:color="auto"/>
          <w:left w:val="single" w:sz="4" w:space="4" w:color="auto"/>
          <w:bottom w:val="single" w:sz="4" w:space="1" w:color="auto"/>
          <w:right w:val="single" w:sz="4" w:space="4" w:color="auto"/>
        </w:pBdr>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E872CF">
        <w:rPr>
          <w:rFonts w:ascii="Times New Roman" w:hAnsi="Times New Roman" w:cs="Times New Roman"/>
          <w:b/>
          <w:bCs/>
          <w:i/>
          <w:sz w:val="22"/>
          <w:szCs w:val="22"/>
        </w:rPr>
        <w:t>ODD 7 : La part de l’énergie renouvelable dans la consommation finale d’énergie</w:t>
      </w:r>
      <w:r w:rsidRPr="00E872CF">
        <w:rPr>
          <w:rFonts w:ascii="Times New Roman" w:hAnsi="Times New Roman" w:cs="Times New Roman"/>
          <w:i/>
          <w:sz w:val="22"/>
          <w:szCs w:val="22"/>
        </w:rPr>
        <w:t xml:space="preserve"> </w:t>
      </w:r>
      <w:r w:rsidRPr="00E872CF">
        <w:rPr>
          <w:rFonts w:ascii="Times New Roman" w:hAnsi="Times New Roman" w:cs="Times New Roman"/>
          <w:b/>
          <w:bCs/>
          <w:i/>
          <w:sz w:val="22"/>
          <w:szCs w:val="22"/>
        </w:rPr>
        <w:t xml:space="preserve">(Indicateur 7.2.1) </w:t>
      </w:r>
      <w:r w:rsidR="00FC5C6F" w:rsidRPr="00E872CF">
        <w:rPr>
          <w:rFonts w:ascii="Times New Roman" w:hAnsi="Times New Roman" w:cs="Times New Roman"/>
          <w:bCs/>
          <w:sz w:val="22"/>
          <w:szCs w:val="22"/>
        </w:rPr>
        <w:t>a globalement augmenté</w:t>
      </w:r>
      <w:r w:rsidRPr="00E872CF">
        <w:rPr>
          <w:rFonts w:ascii="Times New Roman" w:hAnsi="Times New Roman" w:cs="Times New Roman"/>
          <w:b/>
          <w:bCs/>
          <w:i/>
          <w:sz w:val="22"/>
          <w:szCs w:val="22"/>
        </w:rPr>
        <w:t xml:space="preserve">. </w:t>
      </w:r>
      <w:r w:rsidRPr="00E872CF">
        <w:rPr>
          <w:rFonts w:ascii="Times New Roman" w:hAnsi="Times New Roman" w:cs="Times New Roman"/>
          <w:sz w:val="22"/>
          <w:szCs w:val="22"/>
        </w:rPr>
        <w:t>La part des énergies renouvelables dans la production d’électricité est passée de 1,68% en 2015 à 2,49% en 2018. La vente de Gaz de Pétrole Liquéfié (GPL) est passée de 2.834 tonnes en 2010 à environ 21.227 tonnes en 2019 tonnes. La production totale cumulée de charbon minéral sur la période 2011 à 2019 est de 10.388 tonnes (RNV 2020). Ces performances s’expliquent par les efforts réalisés dans le cadre de la promotion des énergies domestiques.</w:t>
      </w:r>
    </w:p>
    <w:p w14:paraId="5B88E23A" w14:textId="086B1B8A" w:rsidR="0028280C" w:rsidRPr="00B8327A"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E872CF">
        <w:rPr>
          <w:rFonts w:ascii="Times New Roman" w:hAnsi="Times New Roman" w:cs="Times New Roman"/>
          <w:sz w:val="22"/>
          <w:szCs w:val="22"/>
        </w:rPr>
        <w:t>Il n’existe pas de données en ce qui concerne l’</w:t>
      </w:r>
      <w:r w:rsidRPr="00E872CF">
        <w:rPr>
          <w:rFonts w:ascii="Times New Roman" w:hAnsi="Times New Roman" w:cs="Times New Roman"/>
          <w:b/>
          <w:bCs/>
          <w:i/>
          <w:iCs/>
          <w:sz w:val="22"/>
          <w:szCs w:val="22"/>
        </w:rPr>
        <w:t>indicateur 7a.1</w:t>
      </w:r>
      <w:r w:rsidRPr="00E872CF">
        <w:rPr>
          <w:rFonts w:ascii="Times New Roman" w:hAnsi="Times New Roman" w:cs="Times New Roman"/>
          <w:sz w:val="22"/>
          <w:szCs w:val="22"/>
        </w:rPr>
        <w:t xml:space="preserve"> : </w:t>
      </w:r>
      <w:r w:rsidRPr="00E872CF">
        <w:rPr>
          <w:rFonts w:ascii="Times New Roman" w:hAnsi="Times New Roman" w:cs="Times New Roman"/>
          <w:b/>
          <w:i/>
          <w:sz w:val="22"/>
          <w:szCs w:val="22"/>
        </w:rPr>
        <w:t>Montant (en dollars des États-Unis) des resso</w:t>
      </w:r>
      <w:r w:rsidR="005619E4" w:rsidRPr="00E872CF">
        <w:rPr>
          <w:rFonts w:ascii="Times New Roman" w:hAnsi="Times New Roman" w:cs="Times New Roman"/>
          <w:b/>
          <w:i/>
          <w:sz w:val="22"/>
          <w:szCs w:val="22"/>
        </w:rPr>
        <w:t>urces mobilisées par a</w:t>
      </w:r>
      <w:r w:rsidRPr="00E872CF">
        <w:rPr>
          <w:rFonts w:ascii="Times New Roman" w:hAnsi="Times New Roman" w:cs="Times New Roman"/>
          <w:b/>
          <w:i/>
          <w:sz w:val="22"/>
          <w:szCs w:val="22"/>
        </w:rPr>
        <w:t xml:space="preserve">nnée à compter </w:t>
      </w:r>
      <w:r w:rsidRPr="00B8327A">
        <w:rPr>
          <w:rFonts w:ascii="Times New Roman" w:hAnsi="Times New Roman" w:cs="Times New Roman"/>
          <w:b/>
          <w:i/>
          <w:sz w:val="22"/>
          <w:szCs w:val="22"/>
        </w:rPr>
        <w:t>de 2020 au titre de l’engagement de 100 milliards de dollars et l’Indicateur 7.b.1 : Investissements dans l’efficacité énergétique en pourcentage du PIB et montant de l’investissement étranger direct sous la forme de transferts financiers destinés à l’infrastructure et à la technologie nécessaires aux services de développement durable.</w:t>
      </w:r>
    </w:p>
    <w:p w14:paraId="2D5BBBEA" w14:textId="27A40F86" w:rsidR="0028280C" w:rsidRPr="00B8327A" w:rsidRDefault="005619E4" w:rsidP="0028280C">
      <w:pPr>
        <w:pStyle w:val="Corpsdetexte001"/>
        <w:numPr>
          <w:ilvl w:val="0"/>
          <w:numId w:val="0"/>
        </w:numPr>
        <w:tabs>
          <w:tab w:val="left" w:pos="270"/>
        </w:tabs>
        <w:jc w:val="both"/>
      </w:pPr>
      <w:r>
        <w:rPr>
          <w:b w:val="0"/>
        </w:rPr>
        <w:t>Les progrès enregistré</w:t>
      </w:r>
      <w:r w:rsidR="0028280C" w:rsidRPr="00EC2C66">
        <w:rPr>
          <w:b w:val="0"/>
        </w:rPr>
        <w:t>s vers l’atteinte de</w:t>
      </w:r>
      <w:r w:rsidR="0028280C">
        <w:t xml:space="preserve"> l’ODD 12 « </w:t>
      </w:r>
      <w:r w:rsidR="0028280C" w:rsidRPr="00B8327A">
        <w:t>Instaurer des modes de production et de consommation soutenables</w:t>
      </w:r>
      <w:r w:rsidR="0028280C">
        <w:t xml:space="preserve"> » </w:t>
      </w:r>
      <w:r w:rsidR="0028280C" w:rsidRPr="00EC2C66">
        <w:rPr>
          <w:b w:val="0"/>
        </w:rPr>
        <w:t>sont décliné ci-après</w:t>
      </w:r>
      <w:r w:rsidR="0028280C">
        <w:t xml:space="preserve"> : </w:t>
      </w:r>
    </w:p>
    <w:p w14:paraId="3344C89D" w14:textId="23498F84" w:rsidR="0028280C" w:rsidRPr="00B8327A"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b/>
          <w:i/>
          <w:sz w:val="22"/>
          <w:szCs w:val="22"/>
        </w:rPr>
      </w:pPr>
      <w:r w:rsidRPr="00944577">
        <w:rPr>
          <w:rFonts w:ascii="Times New Roman" w:hAnsi="Times New Roman" w:cs="Times New Roman"/>
          <w:b/>
          <w:i/>
          <w:sz w:val="22"/>
          <w:szCs w:val="22"/>
        </w:rPr>
        <w:t>ODD 12</w:t>
      </w:r>
      <w:r>
        <w:rPr>
          <w:rFonts w:ascii="Times New Roman" w:hAnsi="Times New Roman" w:cs="Times New Roman"/>
          <w:sz w:val="22"/>
          <w:szCs w:val="22"/>
        </w:rPr>
        <w:t xml:space="preserve"> : </w:t>
      </w:r>
      <w:r w:rsidRPr="00B8327A">
        <w:rPr>
          <w:rFonts w:ascii="Times New Roman" w:hAnsi="Times New Roman" w:cs="Times New Roman"/>
          <w:sz w:val="22"/>
          <w:szCs w:val="22"/>
        </w:rPr>
        <w:t>Il n’y pas de données pour l’</w:t>
      </w:r>
      <w:r w:rsidRPr="00B8327A">
        <w:rPr>
          <w:rFonts w:ascii="Times New Roman" w:hAnsi="Times New Roman" w:cs="Times New Roman"/>
          <w:b/>
          <w:bCs/>
          <w:i/>
          <w:iCs/>
          <w:sz w:val="22"/>
          <w:szCs w:val="22"/>
        </w:rPr>
        <w:t xml:space="preserve">Indicateur 12.2.1 : </w:t>
      </w:r>
      <w:r w:rsidR="005619E4">
        <w:rPr>
          <w:rFonts w:ascii="Times New Roman" w:hAnsi="Times New Roman" w:cs="Times New Roman"/>
          <w:b/>
          <w:i/>
          <w:sz w:val="22"/>
          <w:szCs w:val="22"/>
        </w:rPr>
        <w:t xml:space="preserve">Empreinte matérielle </w:t>
      </w:r>
      <w:r w:rsidRPr="00B8327A">
        <w:rPr>
          <w:rFonts w:ascii="Times New Roman" w:hAnsi="Times New Roman" w:cs="Times New Roman"/>
          <w:b/>
          <w:i/>
          <w:sz w:val="22"/>
          <w:szCs w:val="22"/>
        </w:rPr>
        <w:t>par habitant et empreinte matérielle par unité de PIB et l’Indicateur 12.2.2 : Consommation matérielle nationale, consommation.</w:t>
      </w:r>
    </w:p>
    <w:p w14:paraId="70D1093F" w14:textId="00153A62" w:rsidR="0028280C" w:rsidRPr="00B8327A"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944577">
        <w:rPr>
          <w:rFonts w:ascii="Times New Roman" w:hAnsi="Times New Roman" w:cs="Times New Roman"/>
          <w:b/>
          <w:i/>
          <w:sz w:val="22"/>
          <w:szCs w:val="22"/>
        </w:rPr>
        <w:t>ODD 12</w:t>
      </w:r>
      <w:r>
        <w:rPr>
          <w:rFonts w:ascii="Times New Roman" w:hAnsi="Times New Roman" w:cs="Times New Roman"/>
          <w:sz w:val="22"/>
          <w:szCs w:val="22"/>
        </w:rPr>
        <w:t xml:space="preserve"> : </w:t>
      </w:r>
      <w:r w:rsidRPr="00EC2C66">
        <w:rPr>
          <w:rFonts w:ascii="Times New Roman" w:hAnsi="Times New Roman" w:cs="Times New Roman"/>
          <w:bCs/>
          <w:iCs/>
          <w:sz w:val="22"/>
          <w:szCs w:val="22"/>
        </w:rPr>
        <w:t>S’agissant du</w:t>
      </w:r>
      <w:r>
        <w:rPr>
          <w:rFonts w:ascii="Times New Roman" w:hAnsi="Times New Roman" w:cs="Times New Roman"/>
          <w:b/>
          <w:bCs/>
          <w:i/>
          <w:iCs/>
          <w:sz w:val="22"/>
          <w:szCs w:val="22"/>
        </w:rPr>
        <w:t xml:space="preserve"> n</w:t>
      </w:r>
      <w:r w:rsidRPr="00B8327A">
        <w:rPr>
          <w:rFonts w:ascii="Times New Roman" w:hAnsi="Times New Roman" w:cs="Times New Roman"/>
          <w:b/>
          <w:bCs/>
          <w:i/>
          <w:iCs/>
          <w:sz w:val="22"/>
          <w:szCs w:val="22"/>
        </w:rPr>
        <w:t>ombre de pays mettant en œuvre des politiques et plans d’action en faveur des pratiques durables de passation des marchés public</w:t>
      </w:r>
      <w:r w:rsidRPr="00B8327A">
        <w:rPr>
          <w:rFonts w:ascii="Times New Roman" w:hAnsi="Times New Roman" w:cs="Times New Roman"/>
          <w:sz w:val="22"/>
          <w:szCs w:val="22"/>
        </w:rPr>
        <w:t>s</w:t>
      </w:r>
      <w:r w:rsidRPr="00EC2C66">
        <w:rPr>
          <w:rFonts w:ascii="Times New Roman" w:hAnsi="Times New Roman" w:cs="Times New Roman"/>
          <w:b/>
          <w:bCs/>
          <w:i/>
          <w:iCs/>
          <w:sz w:val="22"/>
          <w:szCs w:val="22"/>
        </w:rPr>
        <w:t xml:space="preserve"> </w:t>
      </w:r>
      <w:r>
        <w:rPr>
          <w:rFonts w:ascii="Times New Roman" w:hAnsi="Times New Roman" w:cs="Times New Roman"/>
          <w:b/>
          <w:bCs/>
          <w:i/>
          <w:iCs/>
          <w:sz w:val="22"/>
          <w:szCs w:val="22"/>
        </w:rPr>
        <w:t xml:space="preserve">(Indicateur 12.7), </w:t>
      </w:r>
      <w:r w:rsidRPr="00EC2C66">
        <w:rPr>
          <w:rFonts w:ascii="Times New Roman" w:hAnsi="Times New Roman" w:cs="Times New Roman"/>
          <w:bCs/>
          <w:iCs/>
          <w:sz w:val="22"/>
          <w:szCs w:val="22"/>
        </w:rPr>
        <w:t xml:space="preserve">le </w:t>
      </w:r>
      <w:r w:rsidR="005619E4">
        <w:rPr>
          <w:rFonts w:ascii="Times New Roman" w:hAnsi="Times New Roman" w:cs="Times New Roman"/>
          <w:sz w:val="22"/>
          <w:szCs w:val="22"/>
        </w:rPr>
        <w:t>Niger s’est doté du</w:t>
      </w:r>
      <w:r w:rsidRPr="00B8327A">
        <w:rPr>
          <w:rFonts w:ascii="Times New Roman" w:hAnsi="Times New Roman" w:cs="Times New Roman"/>
          <w:sz w:val="22"/>
          <w:szCs w:val="22"/>
        </w:rPr>
        <w:t xml:space="preserve"> décret N° 2016-641/PRN/PM portant Code de Marchés Publics et des Délégations de Services Publics qui intègre la problématique des achats des biens durables. La loi sur la transparence dans le cadre de passation de marché public a été adoptée. </w:t>
      </w:r>
    </w:p>
    <w:p w14:paraId="1E5CAA67" w14:textId="7E005337" w:rsidR="0028280C" w:rsidRPr="00B8327A"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944577">
        <w:rPr>
          <w:rFonts w:ascii="Times New Roman" w:hAnsi="Times New Roman" w:cs="Times New Roman"/>
          <w:b/>
          <w:i/>
          <w:sz w:val="22"/>
          <w:szCs w:val="22"/>
        </w:rPr>
        <w:lastRenderedPageBreak/>
        <w:t>ODD 12</w:t>
      </w:r>
      <w:r>
        <w:rPr>
          <w:rFonts w:ascii="Times New Roman" w:hAnsi="Times New Roman" w:cs="Times New Roman"/>
          <w:sz w:val="22"/>
          <w:szCs w:val="22"/>
        </w:rPr>
        <w:t xml:space="preserve"> : </w:t>
      </w:r>
      <w:r>
        <w:rPr>
          <w:rFonts w:ascii="Times New Roman" w:hAnsi="Times New Roman" w:cs="Times New Roman"/>
          <w:b/>
          <w:i/>
          <w:sz w:val="22"/>
          <w:szCs w:val="22"/>
        </w:rPr>
        <w:t>Le m</w:t>
      </w:r>
      <w:r w:rsidRPr="00B8327A">
        <w:rPr>
          <w:rFonts w:ascii="Times New Roman" w:hAnsi="Times New Roman" w:cs="Times New Roman"/>
          <w:b/>
          <w:i/>
          <w:sz w:val="22"/>
          <w:szCs w:val="22"/>
        </w:rPr>
        <w:t>ontant de l’aide apportée aux pays en développement au titre d’activités de</w:t>
      </w:r>
      <w:r w:rsidR="005619E4">
        <w:rPr>
          <w:rFonts w:ascii="Times New Roman" w:hAnsi="Times New Roman" w:cs="Times New Roman"/>
          <w:b/>
          <w:i/>
          <w:sz w:val="22"/>
          <w:szCs w:val="22"/>
        </w:rPr>
        <w:t xml:space="preserve"> Recherche et </w:t>
      </w:r>
      <w:r w:rsidRPr="00B8327A">
        <w:rPr>
          <w:rFonts w:ascii="Times New Roman" w:hAnsi="Times New Roman" w:cs="Times New Roman"/>
          <w:b/>
          <w:i/>
          <w:sz w:val="22"/>
          <w:szCs w:val="22"/>
        </w:rPr>
        <w:t>Développement consacrées aux modes de consommation et de production durables et aux technologies écologiquement rationnelles</w:t>
      </w:r>
      <w:r>
        <w:rPr>
          <w:rFonts w:ascii="Times New Roman" w:hAnsi="Times New Roman" w:cs="Times New Roman"/>
          <w:b/>
          <w:i/>
          <w:sz w:val="22"/>
          <w:szCs w:val="22"/>
        </w:rPr>
        <w:t xml:space="preserve"> (Indicateur 12.a.1)</w:t>
      </w:r>
      <w:r w:rsidR="00FA0F5D">
        <w:rPr>
          <w:rFonts w:ascii="Times New Roman" w:hAnsi="Times New Roman" w:cs="Times New Roman"/>
          <w:sz w:val="22"/>
          <w:szCs w:val="22"/>
        </w:rPr>
        <w:t> : L</w:t>
      </w:r>
      <w:r>
        <w:rPr>
          <w:rFonts w:ascii="Times New Roman" w:hAnsi="Times New Roman" w:cs="Times New Roman"/>
          <w:sz w:val="22"/>
          <w:szCs w:val="22"/>
        </w:rPr>
        <w:t xml:space="preserve">’aide </w:t>
      </w:r>
      <w:r w:rsidR="00FA0F5D">
        <w:rPr>
          <w:rFonts w:ascii="Times New Roman" w:hAnsi="Times New Roman" w:cs="Times New Roman"/>
          <w:sz w:val="22"/>
          <w:szCs w:val="22"/>
        </w:rPr>
        <w:t xml:space="preserve">apportée </w:t>
      </w:r>
      <w:r w:rsidRPr="00B8327A">
        <w:rPr>
          <w:rFonts w:ascii="Times New Roman" w:hAnsi="Times New Roman" w:cs="Times New Roman"/>
          <w:sz w:val="22"/>
          <w:szCs w:val="22"/>
        </w:rPr>
        <w:t xml:space="preserve">au </w:t>
      </w:r>
      <w:r w:rsidR="00FA0F5D">
        <w:rPr>
          <w:rFonts w:ascii="Times New Roman" w:hAnsi="Times New Roman" w:cs="Times New Roman"/>
          <w:sz w:val="22"/>
          <w:szCs w:val="22"/>
        </w:rPr>
        <w:t xml:space="preserve">Niger au </w:t>
      </w:r>
      <w:r w:rsidRPr="00B8327A">
        <w:rPr>
          <w:rFonts w:ascii="Times New Roman" w:hAnsi="Times New Roman" w:cs="Times New Roman"/>
          <w:sz w:val="22"/>
          <w:szCs w:val="22"/>
        </w:rPr>
        <w:t>titr</w:t>
      </w:r>
      <w:r w:rsidR="00FA0F5D">
        <w:rPr>
          <w:rFonts w:ascii="Times New Roman" w:hAnsi="Times New Roman" w:cs="Times New Roman"/>
          <w:sz w:val="22"/>
          <w:szCs w:val="22"/>
        </w:rPr>
        <w:t xml:space="preserve">e des activités de Recherche et </w:t>
      </w:r>
      <w:r w:rsidRPr="00B8327A">
        <w:rPr>
          <w:rFonts w:ascii="Times New Roman" w:hAnsi="Times New Roman" w:cs="Times New Roman"/>
          <w:sz w:val="22"/>
          <w:szCs w:val="22"/>
        </w:rPr>
        <w:t>Développement</w:t>
      </w:r>
      <w:r w:rsidR="00FA0F5D">
        <w:rPr>
          <w:rFonts w:ascii="Times New Roman" w:hAnsi="Times New Roman" w:cs="Times New Roman"/>
          <w:sz w:val="22"/>
          <w:szCs w:val="22"/>
        </w:rPr>
        <w:t>,</w:t>
      </w:r>
      <w:r w:rsidRPr="00B8327A">
        <w:rPr>
          <w:rFonts w:ascii="Times New Roman" w:hAnsi="Times New Roman" w:cs="Times New Roman"/>
          <w:sz w:val="22"/>
          <w:szCs w:val="22"/>
        </w:rPr>
        <w:t xml:space="preserve"> aux modes de consommation et de production durables et aux technologies écologiquement rationnelles est passé</w:t>
      </w:r>
      <w:r w:rsidR="00FA0F5D">
        <w:rPr>
          <w:rFonts w:ascii="Times New Roman" w:hAnsi="Times New Roman" w:cs="Times New Roman"/>
          <w:sz w:val="22"/>
          <w:szCs w:val="22"/>
        </w:rPr>
        <w:t>e</w:t>
      </w:r>
      <w:r w:rsidRPr="00B8327A">
        <w:rPr>
          <w:rFonts w:ascii="Times New Roman" w:hAnsi="Times New Roman" w:cs="Times New Roman"/>
          <w:sz w:val="22"/>
          <w:szCs w:val="22"/>
        </w:rPr>
        <w:t xml:space="preserve"> de 1.170.910.000 franc</w:t>
      </w:r>
      <w:r w:rsidR="00FA0F5D">
        <w:rPr>
          <w:rFonts w:ascii="Times New Roman" w:hAnsi="Times New Roman" w:cs="Times New Roman"/>
          <w:sz w:val="22"/>
          <w:szCs w:val="22"/>
        </w:rPr>
        <w:t>s CFA en 2015</w:t>
      </w:r>
      <w:r w:rsidRPr="00B8327A">
        <w:rPr>
          <w:rFonts w:ascii="Times New Roman" w:hAnsi="Times New Roman" w:cs="Times New Roman"/>
          <w:sz w:val="22"/>
          <w:szCs w:val="22"/>
        </w:rPr>
        <w:t xml:space="preserve"> à 1.556.457.000 franc CFA en 2018 (RNV 2021).</w:t>
      </w:r>
    </w:p>
    <w:p w14:paraId="6401F646" w14:textId="3A1BA719" w:rsidR="0028280C" w:rsidRPr="00B8327A"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944577">
        <w:rPr>
          <w:rFonts w:ascii="Times New Roman" w:hAnsi="Times New Roman" w:cs="Times New Roman"/>
          <w:b/>
          <w:i/>
          <w:sz w:val="22"/>
          <w:szCs w:val="22"/>
        </w:rPr>
        <w:t>ODD 12</w:t>
      </w:r>
      <w:r>
        <w:rPr>
          <w:rFonts w:ascii="Times New Roman" w:hAnsi="Times New Roman" w:cs="Times New Roman"/>
          <w:sz w:val="22"/>
          <w:szCs w:val="22"/>
        </w:rPr>
        <w:t xml:space="preserve"> : </w:t>
      </w:r>
      <w:r w:rsidRPr="002B0D8B">
        <w:rPr>
          <w:rFonts w:ascii="Times New Roman" w:hAnsi="Times New Roman" w:cs="Times New Roman"/>
          <w:sz w:val="22"/>
          <w:szCs w:val="22"/>
        </w:rPr>
        <w:t>En ce qui concerne le</w:t>
      </w:r>
      <w:r>
        <w:rPr>
          <w:rFonts w:ascii="Times New Roman" w:hAnsi="Times New Roman" w:cs="Times New Roman"/>
          <w:b/>
          <w:i/>
          <w:sz w:val="22"/>
          <w:szCs w:val="22"/>
        </w:rPr>
        <w:t xml:space="preserve"> n</w:t>
      </w:r>
      <w:r w:rsidRPr="00B8327A">
        <w:rPr>
          <w:rFonts w:ascii="Times New Roman" w:hAnsi="Times New Roman" w:cs="Times New Roman"/>
          <w:b/>
          <w:i/>
          <w:sz w:val="22"/>
          <w:szCs w:val="22"/>
        </w:rPr>
        <w:t>ombre de stratégies ou de politiques en place dans le domaine du tourisme durable et de plans d’action mis en œuvre en appliquant des outils d’évaluation et de suivi convenus d’un commun accord</w:t>
      </w:r>
      <w:r>
        <w:rPr>
          <w:rFonts w:ascii="Times New Roman" w:hAnsi="Times New Roman" w:cs="Times New Roman"/>
          <w:b/>
          <w:i/>
          <w:sz w:val="22"/>
          <w:szCs w:val="22"/>
        </w:rPr>
        <w:t xml:space="preserve"> (Indicateur : 12.b.1), </w:t>
      </w:r>
      <w:r w:rsidRPr="002B0D8B">
        <w:rPr>
          <w:rFonts w:ascii="Times New Roman" w:hAnsi="Times New Roman" w:cs="Times New Roman"/>
          <w:sz w:val="22"/>
          <w:szCs w:val="22"/>
        </w:rPr>
        <w:t>on peut signaler qu’au</w:t>
      </w:r>
      <w:r w:rsidRPr="00B8327A">
        <w:rPr>
          <w:rFonts w:ascii="Times New Roman" w:hAnsi="Times New Roman" w:cs="Times New Roman"/>
          <w:sz w:val="22"/>
          <w:szCs w:val="22"/>
        </w:rPr>
        <w:t xml:space="preserve"> nombre des stratégies ou de politiques en place dans</w:t>
      </w:r>
      <w:r w:rsidR="00FA0F5D">
        <w:rPr>
          <w:rFonts w:ascii="Times New Roman" w:hAnsi="Times New Roman" w:cs="Times New Roman"/>
          <w:sz w:val="22"/>
          <w:szCs w:val="22"/>
        </w:rPr>
        <w:t xml:space="preserve"> le domaine du tourisme durable figure</w:t>
      </w:r>
      <w:r w:rsidRPr="00B8327A">
        <w:rPr>
          <w:rFonts w:ascii="Times New Roman" w:hAnsi="Times New Roman" w:cs="Times New Roman"/>
          <w:sz w:val="22"/>
          <w:szCs w:val="22"/>
        </w:rPr>
        <w:t xml:space="preserve"> la Stratégie Nationale du Développement Durable du Tourisme (SNDDT), mise en œuvre depuis 2012 à travers son Programme d’Actions Prioritaires (PAP) (RNV 2021). Afin de préserver l’intégrité écologique et valoriser les importantes </w:t>
      </w:r>
      <w:r w:rsidRPr="00B8327A">
        <w:rPr>
          <w:rFonts w:ascii="Times New Roman" w:eastAsia="Calibri" w:hAnsi="Times New Roman" w:cs="Times New Roman"/>
          <w:sz w:val="22"/>
          <w:szCs w:val="22"/>
        </w:rPr>
        <w:t>richesses</w:t>
      </w:r>
      <w:r w:rsidRPr="00B8327A">
        <w:rPr>
          <w:rFonts w:ascii="Times New Roman" w:hAnsi="Times New Roman" w:cs="Times New Roman"/>
          <w:sz w:val="22"/>
          <w:szCs w:val="22"/>
        </w:rPr>
        <w:t xml:space="preserve"> culturelles, fauniques, vestiges historiques, archéologiques et écologiques que recèle le Niger, certaines d’entre elles ont été classées, patrimoine culturel mondial, réserve de biosphère, sites RAMSAR ou aires protégées nationales. </w:t>
      </w:r>
    </w:p>
    <w:p w14:paraId="3A51D8DC" w14:textId="70CC24D9" w:rsidR="0028280C" w:rsidRPr="00B8327A"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944577">
        <w:rPr>
          <w:rFonts w:ascii="Times New Roman" w:hAnsi="Times New Roman" w:cs="Times New Roman"/>
          <w:b/>
          <w:i/>
          <w:sz w:val="22"/>
          <w:szCs w:val="22"/>
        </w:rPr>
        <w:t>ODD 12</w:t>
      </w:r>
      <w:r>
        <w:rPr>
          <w:rFonts w:ascii="Times New Roman" w:hAnsi="Times New Roman" w:cs="Times New Roman"/>
          <w:sz w:val="22"/>
          <w:szCs w:val="22"/>
        </w:rPr>
        <w:t xml:space="preserve"> : </w:t>
      </w:r>
      <w:r w:rsidRPr="00B8327A">
        <w:rPr>
          <w:rFonts w:ascii="Times New Roman" w:hAnsi="Times New Roman" w:cs="Times New Roman"/>
          <w:sz w:val="22"/>
          <w:szCs w:val="22"/>
        </w:rPr>
        <w:t>Il n’existe aucune donnée pour</w:t>
      </w:r>
      <w:r>
        <w:rPr>
          <w:rFonts w:ascii="Times New Roman" w:hAnsi="Times New Roman" w:cs="Times New Roman"/>
          <w:sz w:val="22"/>
          <w:szCs w:val="22"/>
        </w:rPr>
        <w:t xml:space="preserve"> apprécier le </w:t>
      </w:r>
      <w:r w:rsidRPr="00B8327A">
        <w:rPr>
          <w:rFonts w:ascii="Times New Roman" w:hAnsi="Times New Roman" w:cs="Times New Roman"/>
          <w:b/>
          <w:bCs/>
          <w:i/>
          <w:iCs/>
          <w:sz w:val="22"/>
          <w:szCs w:val="22"/>
        </w:rPr>
        <w:t>Montant des subventions aux combustibles fossiles par unité de PIB (production et consommation</w:t>
      </w:r>
      <w:r w:rsidRPr="00B8327A">
        <w:rPr>
          <w:rFonts w:ascii="Times New Roman" w:hAnsi="Times New Roman" w:cs="Times New Roman"/>
          <w:i/>
          <w:iCs/>
          <w:sz w:val="22"/>
          <w:szCs w:val="22"/>
        </w:rPr>
        <w:t>)</w:t>
      </w:r>
      <w:r w:rsidRPr="00B8327A">
        <w:rPr>
          <w:rFonts w:ascii="Times New Roman" w:hAnsi="Times New Roman" w:cs="Times New Roman"/>
          <w:sz w:val="22"/>
          <w:szCs w:val="22"/>
        </w:rPr>
        <w:t xml:space="preserve"> </w:t>
      </w:r>
      <w:r>
        <w:rPr>
          <w:rFonts w:ascii="Times New Roman" w:hAnsi="Times New Roman" w:cs="Times New Roman"/>
          <w:sz w:val="22"/>
          <w:szCs w:val="22"/>
        </w:rPr>
        <w:t>(</w:t>
      </w:r>
      <w:r>
        <w:rPr>
          <w:rFonts w:ascii="Times New Roman" w:hAnsi="Times New Roman" w:cs="Times New Roman"/>
          <w:b/>
          <w:bCs/>
          <w:i/>
          <w:iCs/>
          <w:sz w:val="22"/>
          <w:szCs w:val="22"/>
        </w:rPr>
        <w:t>Indicateur 12.c.1)</w:t>
      </w:r>
      <w:r w:rsidR="005619E4">
        <w:rPr>
          <w:rFonts w:ascii="Times New Roman" w:hAnsi="Times New Roman" w:cs="Times New Roman"/>
          <w:b/>
          <w:bCs/>
          <w:i/>
          <w:iCs/>
          <w:sz w:val="22"/>
          <w:szCs w:val="22"/>
        </w:rPr>
        <w:t xml:space="preserve"> </w:t>
      </w:r>
      <w:r w:rsidRPr="00B8327A">
        <w:rPr>
          <w:rFonts w:ascii="Times New Roman" w:hAnsi="Times New Roman" w:cs="Times New Roman"/>
          <w:sz w:val="22"/>
          <w:szCs w:val="22"/>
        </w:rPr>
        <w:t>et en proportion des dépenses nationales totale</w:t>
      </w:r>
      <w:r>
        <w:rPr>
          <w:rFonts w:ascii="Times New Roman" w:hAnsi="Times New Roman" w:cs="Times New Roman"/>
          <w:sz w:val="22"/>
          <w:szCs w:val="22"/>
        </w:rPr>
        <w:t>s consacrées à ces combustibles</w:t>
      </w:r>
      <w:r w:rsidRPr="00B8327A">
        <w:rPr>
          <w:rFonts w:ascii="Times New Roman" w:hAnsi="Times New Roman" w:cs="Times New Roman"/>
          <w:sz w:val="22"/>
          <w:szCs w:val="22"/>
        </w:rPr>
        <w:t>.</w:t>
      </w:r>
    </w:p>
    <w:p w14:paraId="70F94C4E" w14:textId="77777777" w:rsidR="0028280C" w:rsidRPr="00C56D46" w:rsidRDefault="0028280C" w:rsidP="0028280C">
      <w:pPr>
        <w:pStyle w:val="Corpsdetexte001"/>
        <w:numPr>
          <w:ilvl w:val="0"/>
          <w:numId w:val="0"/>
        </w:numPr>
        <w:rPr>
          <w:b w:val="0"/>
        </w:rPr>
      </w:pPr>
      <w:r w:rsidRPr="00C56D46">
        <w:rPr>
          <w:b w:val="0"/>
        </w:rPr>
        <w:t xml:space="preserve">Pour l’ODD 15 « Préserver et restaurer les écosystèmes terrestres, lutter contre la désertification (vie terrestre) », il a été constaté les progrès suivants : </w:t>
      </w:r>
    </w:p>
    <w:p w14:paraId="0630AFCB" w14:textId="1DAFE18C" w:rsidR="00FA0F5D" w:rsidRPr="00B218A7"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C56D46">
        <w:rPr>
          <w:rFonts w:ascii="Times New Roman" w:hAnsi="Times New Roman" w:cs="Times New Roman"/>
          <w:b/>
          <w:i/>
          <w:sz w:val="22"/>
          <w:szCs w:val="22"/>
        </w:rPr>
        <w:t>ODD 15 :</w:t>
      </w:r>
      <w:r>
        <w:rPr>
          <w:b/>
          <w:sz w:val="22"/>
          <w:szCs w:val="22"/>
        </w:rPr>
        <w:t xml:space="preserve"> </w:t>
      </w:r>
      <w:r>
        <w:rPr>
          <w:rFonts w:ascii="Times New Roman" w:hAnsi="Times New Roman" w:cs="Times New Roman"/>
          <w:b/>
          <w:bCs/>
          <w:i/>
          <w:sz w:val="22"/>
          <w:szCs w:val="22"/>
        </w:rPr>
        <w:t>Les p</w:t>
      </w:r>
      <w:r w:rsidRPr="00B8327A">
        <w:rPr>
          <w:rFonts w:ascii="Times New Roman" w:hAnsi="Times New Roman" w:cs="Times New Roman"/>
          <w:b/>
          <w:bCs/>
          <w:i/>
          <w:sz w:val="22"/>
          <w:szCs w:val="22"/>
        </w:rPr>
        <w:t>rogrès vers la gestion durable des forêt</w:t>
      </w:r>
      <w:r>
        <w:rPr>
          <w:rFonts w:ascii="Times New Roman" w:hAnsi="Times New Roman" w:cs="Times New Roman"/>
          <w:b/>
          <w:bCs/>
          <w:i/>
          <w:sz w:val="22"/>
          <w:szCs w:val="22"/>
        </w:rPr>
        <w:t>s</w:t>
      </w:r>
      <w:r w:rsidRPr="002B0D8B">
        <w:rPr>
          <w:rFonts w:ascii="Times New Roman" w:hAnsi="Times New Roman" w:cs="Times New Roman"/>
          <w:b/>
          <w:bCs/>
          <w:i/>
          <w:sz w:val="22"/>
          <w:szCs w:val="22"/>
        </w:rPr>
        <w:t xml:space="preserve"> </w:t>
      </w:r>
      <w:r>
        <w:rPr>
          <w:rFonts w:ascii="Times New Roman" w:hAnsi="Times New Roman" w:cs="Times New Roman"/>
          <w:b/>
          <w:bCs/>
          <w:i/>
          <w:sz w:val="22"/>
          <w:szCs w:val="22"/>
        </w:rPr>
        <w:t>(</w:t>
      </w:r>
      <w:r w:rsidRPr="00B8327A">
        <w:rPr>
          <w:rFonts w:ascii="Times New Roman" w:hAnsi="Times New Roman" w:cs="Times New Roman"/>
          <w:b/>
          <w:bCs/>
          <w:i/>
          <w:sz w:val="22"/>
          <w:szCs w:val="22"/>
        </w:rPr>
        <w:t>Indicateur 15.2.1</w:t>
      </w:r>
      <w:r>
        <w:rPr>
          <w:rFonts w:ascii="Times New Roman" w:hAnsi="Times New Roman" w:cs="Times New Roman"/>
          <w:b/>
          <w:bCs/>
          <w:i/>
          <w:sz w:val="22"/>
          <w:szCs w:val="22"/>
        </w:rPr>
        <w:t xml:space="preserve">) </w:t>
      </w:r>
      <w:r w:rsidRPr="002B0D8B">
        <w:rPr>
          <w:rFonts w:ascii="Times New Roman" w:hAnsi="Times New Roman" w:cs="Times New Roman"/>
          <w:bCs/>
          <w:sz w:val="22"/>
          <w:szCs w:val="22"/>
        </w:rPr>
        <w:t>ont été encourageants</w:t>
      </w:r>
      <w:r>
        <w:rPr>
          <w:rFonts w:ascii="Times New Roman" w:hAnsi="Times New Roman" w:cs="Times New Roman"/>
          <w:bCs/>
          <w:sz w:val="22"/>
          <w:szCs w:val="22"/>
        </w:rPr>
        <w:t xml:space="preserve"> au cours </w:t>
      </w:r>
      <w:r w:rsidR="00FA0F5D">
        <w:rPr>
          <w:rFonts w:ascii="Times New Roman" w:hAnsi="Times New Roman" w:cs="Times New Roman"/>
          <w:bCs/>
          <w:sz w:val="22"/>
          <w:szCs w:val="22"/>
        </w:rPr>
        <w:t xml:space="preserve">des </w:t>
      </w:r>
      <w:r>
        <w:rPr>
          <w:rFonts w:ascii="Times New Roman" w:hAnsi="Times New Roman" w:cs="Times New Roman"/>
          <w:bCs/>
          <w:sz w:val="22"/>
          <w:szCs w:val="22"/>
        </w:rPr>
        <w:t>cinq dernières années</w:t>
      </w:r>
      <w:r w:rsidRPr="00B8327A">
        <w:rPr>
          <w:rFonts w:ascii="Times New Roman" w:hAnsi="Times New Roman" w:cs="Times New Roman"/>
          <w:b/>
          <w:bCs/>
          <w:i/>
          <w:sz w:val="22"/>
          <w:szCs w:val="22"/>
        </w:rPr>
        <w:t>.</w:t>
      </w:r>
      <w:r w:rsidRPr="00B8327A">
        <w:rPr>
          <w:rFonts w:ascii="Times New Roman" w:hAnsi="Times New Roman" w:cs="Times New Roman"/>
          <w:i/>
          <w:sz w:val="22"/>
          <w:szCs w:val="22"/>
        </w:rPr>
        <w:t xml:space="preserve"> </w:t>
      </w:r>
      <w:r w:rsidRPr="00B8327A">
        <w:rPr>
          <w:rFonts w:ascii="Times New Roman" w:hAnsi="Times New Roman" w:cs="Times New Roman"/>
          <w:sz w:val="22"/>
          <w:szCs w:val="22"/>
        </w:rPr>
        <w:t>L</w:t>
      </w:r>
      <w:r w:rsidRPr="00B8327A">
        <w:rPr>
          <w:rFonts w:ascii="Times New Roman" w:eastAsia="Calibri" w:hAnsi="Times New Roman" w:cs="Times New Roman"/>
          <w:sz w:val="22"/>
          <w:szCs w:val="22"/>
        </w:rPr>
        <w:t>e</w:t>
      </w:r>
      <w:r w:rsidRPr="00B8327A">
        <w:rPr>
          <w:rFonts w:ascii="Times New Roman" w:hAnsi="Times New Roman" w:cs="Times New Roman"/>
          <w:sz w:val="22"/>
          <w:szCs w:val="22"/>
        </w:rPr>
        <w:t xml:space="preserve"> stock de la biomasse aérienne des forêts est passé de 38,51 tonnes/hectare en 2016 à 38,28 tonnes/hectare en 2019 (RNNV 2020). Le taux de variation nette de la superficie forestière est quant à lui passé de -1.1% en 2016, à -1.15% en 2019, soit une régression de la superficie forestière de l’ordre de -0,05%. La proportion de la superficie forestière dotée d’un plan de gestion forestière à long terme est de 19,27% en 2019. La superficie totale des forêts protégées est de 492 120 ha en 2019, et la proportion de la superficie forestière dans les aires protégées légalement établies est égale à 19,27% (R</w:t>
      </w:r>
      <w:r w:rsidR="00B218A7">
        <w:rPr>
          <w:rFonts w:ascii="Times New Roman" w:hAnsi="Times New Roman" w:cs="Times New Roman"/>
          <w:sz w:val="22"/>
          <w:szCs w:val="22"/>
        </w:rPr>
        <w:t xml:space="preserve">NV 2020). </w:t>
      </w:r>
    </w:p>
    <w:p w14:paraId="11DB7E44" w14:textId="0F372C1E" w:rsidR="0028280C" w:rsidRPr="00944577" w:rsidRDefault="0028280C" w:rsidP="0028280C">
      <w:pPr>
        <w:pStyle w:val="Corpsdetexte3"/>
        <w:overflowPunct w:val="0"/>
        <w:autoSpaceDE w:val="0"/>
        <w:autoSpaceDN w:val="0"/>
        <w:adjustRightInd w:val="0"/>
        <w:spacing w:before="80" w:after="80" w:line="240" w:lineRule="auto"/>
        <w:jc w:val="both"/>
        <w:textAlignment w:val="baseline"/>
        <w:rPr>
          <w:rFonts w:ascii="Times New Roman" w:eastAsia="Calibri" w:hAnsi="Times New Roman" w:cs="Times New Roman"/>
          <w:sz w:val="22"/>
          <w:szCs w:val="22"/>
        </w:rPr>
      </w:pPr>
      <w:r w:rsidRPr="00C56D46">
        <w:rPr>
          <w:rFonts w:ascii="Times New Roman" w:hAnsi="Times New Roman" w:cs="Times New Roman"/>
          <w:b/>
          <w:i/>
          <w:sz w:val="22"/>
          <w:szCs w:val="22"/>
        </w:rPr>
        <w:t>ODD 15</w:t>
      </w:r>
      <w:r>
        <w:rPr>
          <w:b/>
          <w:sz w:val="22"/>
          <w:szCs w:val="22"/>
        </w:rPr>
        <w:t xml:space="preserve"> : </w:t>
      </w:r>
      <w:r>
        <w:rPr>
          <w:rFonts w:ascii="Times New Roman" w:hAnsi="Times New Roman" w:cs="Times New Roman"/>
          <w:b/>
          <w:bCs/>
          <w:i/>
          <w:sz w:val="22"/>
          <w:szCs w:val="22"/>
        </w:rPr>
        <w:t>La p</w:t>
      </w:r>
      <w:r w:rsidRPr="00B8327A">
        <w:rPr>
          <w:rFonts w:ascii="Times New Roman" w:hAnsi="Times New Roman" w:cs="Times New Roman"/>
          <w:b/>
          <w:bCs/>
          <w:i/>
          <w:sz w:val="22"/>
          <w:szCs w:val="22"/>
        </w:rPr>
        <w:t>roportion de la surface émergée totale occupée par des terres dégradées</w:t>
      </w:r>
      <w:r>
        <w:rPr>
          <w:rFonts w:ascii="Times New Roman" w:hAnsi="Times New Roman" w:cs="Times New Roman"/>
          <w:b/>
          <w:bCs/>
          <w:i/>
          <w:sz w:val="22"/>
          <w:szCs w:val="22"/>
        </w:rPr>
        <w:t xml:space="preserve"> (</w:t>
      </w:r>
      <w:r w:rsidRPr="00B8327A">
        <w:rPr>
          <w:rFonts w:ascii="Times New Roman" w:hAnsi="Times New Roman" w:cs="Times New Roman"/>
          <w:b/>
          <w:bCs/>
          <w:i/>
          <w:sz w:val="22"/>
          <w:szCs w:val="22"/>
        </w:rPr>
        <w:t>Indicateur 15.3.1</w:t>
      </w:r>
      <w:r>
        <w:rPr>
          <w:rFonts w:ascii="Times New Roman" w:hAnsi="Times New Roman" w:cs="Times New Roman"/>
          <w:b/>
          <w:bCs/>
          <w:i/>
          <w:sz w:val="22"/>
          <w:szCs w:val="22"/>
        </w:rPr>
        <w:t>)</w:t>
      </w:r>
      <w:r w:rsidRPr="00B8327A">
        <w:rPr>
          <w:rFonts w:ascii="Times New Roman" w:hAnsi="Times New Roman" w:cs="Times New Roman"/>
          <w:b/>
          <w:bCs/>
          <w:i/>
          <w:sz w:val="22"/>
          <w:szCs w:val="22"/>
        </w:rPr>
        <w:t xml:space="preserve"> </w:t>
      </w:r>
      <w:r w:rsidR="00FA0F5D">
        <w:rPr>
          <w:rFonts w:ascii="Times New Roman" w:hAnsi="Times New Roman" w:cs="Times New Roman"/>
          <w:sz w:val="22"/>
          <w:szCs w:val="22"/>
        </w:rPr>
        <w:t>a progressé de 7% en 2016</w:t>
      </w:r>
      <w:r w:rsidRPr="00B8327A">
        <w:rPr>
          <w:rFonts w:ascii="Times New Roman" w:hAnsi="Times New Roman" w:cs="Times New Roman"/>
          <w:sz w:val="22"/>
          <w:szCs w:val="22"/>
        </w:rPr>
        <w:t xml:space="preserve"> à 7,26% en 2019. Les réalisations annuelles dans le cadre de la Gestion Durable des T</w:t>
      </w:r>
      <w:r w:rsidR="00FA0F5D">
        <w:rPr>
          <w:rFonts w:ascii="Times New Roman" w:hAnsi="Times New Roman" w:cs="Times New Roman"/>
          <w:sz w:val="22"/>
          <w:szCs w:val="22"/>
        </w:rPr>
        <w:t>erres ont connu une progression</w:t>
      </w:r>
      <w:r w:rsidRPr="00B8327A">
        <w:rPr>
          <w:rFonts w:ascii="Times New Roman" w:hAnsi="Times New Roman" w:cs="Times New Roman"/>
          <w:sz w:val="22"/>
          <w:szCs w:val="22"/>
        </w:rPr>
        <w:t xml:space="preserve"> passant de 77 595 ha en 2016 à 200 138 ha en 2019. Cette situation s’explique par le fait que les activités de récupération de terres </w:t>
      </w:r>
      <w:r w:rsidR="00FA0F5D">
        <w:rPr>
          <w:rFonts w:ascii="Times New Roman" w:hAnsi="Times New Roman" w:cs="Times New Roman"/>
          <w:sz w:val="22"/>
          <w:szCs w:val="22"/>
        </w:rPr>
        <w:t>réalisées</w:t>
      </w:r>
      <w:r w:rsidRPr="00B8327A">
        <w:rPr>
          <w:rFonts w:ascii="Times New Roman" w:hAnsi="Times New Roman" w:cs="Times New Roman"/>
          <w:sz w:val="22"/>
          <w:szCs w:val="22"/>
        </w:rPr>
        <w:t xml:space="preserve"> chaque année n’atteignent toujours pas la cible annuelle de 213 000 ha fixée pour inverser la tendance, sachant que de l’autre côté, la perte des terres de cultures de 100 000 ha par an se poursuit. Il apparait que </w:t>
      </w:r>
      <w:r w:rsidRPr="00B8327A">
        <w:rPr>
          <w:rFonts w:ascii="Times New Roman" w:eastAsia="Calibri" w:hAnsi="Times New Roman" w:cs="Times New Roman"/>
          <w:sz w:val="22"/>
          <w:szCs w:val="22"/>
        </w:rPr>
        <w:t>15% des espèces animales existantes au Niger et 1,97% des espèces végétales sont menacées d’extinction</w:t>
      </w:r>
      <w:r w:rsidRPr="00B8327A">
        <w:rPr>
          <w:rFonts w:ascii="Times New Roman" w:hAnsi="Times New Roman" w:cs="Times New Roman"/>
          <w:sz w:val="22"/>
          <w:szCs w:val="22"/>
        </w:rPr>
        <w:t xml:space="preserve">. </w:t>
      </w:r>
    </w:p>
    <w:p w14:paraId="2C87AB4E" w14:textId="1BC09769" w:rsidR="0028280C" w:rsidRPr="00B8327A"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C56D46">
        <w:rPr>
          <w:rFonts w:ascii="Times New Roman" w:hAnsi="Times New Roman" w:cs="Times New Roman"/>
          <w:b/>
          <w:i/>
          <w:sz w:val="22"/>
          <w:szCs w:val="22"/>
        </w:rPr>
        <w:t>ODD 15</w:t>
      </w:r>
      <w:r>
        <w:rPr>
          <w:b/>
          <w:sz w:val="22"/>
          <w:szCs w:val="22"/>
        </w:rPr>
        <w:t xml:space="preserve"> : </w:t>
      </w:r>
      <w:r>
        <w:rPr>
          <w:rFonts w:ascii="Times New Roman" w:eastAsia="Calibri" w:hAnsi="Times New Roman" w:cs="Times New Roman"/>
          <w:b/>
          <w:i/>
          <w:sz w:val="22"/>
          <w:szCs w:val="22"/>
        </w:rPr>
        <w:t>L’a</w:t>
      </w:r>
      <w:r w:rsidRPr="00B8327A">
        <w:rPr>
          <w:rFonts w:ascii="Times New Roman" w:eastAsia="Calibri" w:hAnsi="Times New Roman" w:cs="Times New Roman"/>
          <w:b/>
          <w:i/>
          <w:sz w:val="22"/>
          <w:szCs w:val="22"/>
        </w:rPr>
        <w:t xml:space="preserve">ide publique au développement et </w:t>
      </w:r>
      <w:r w:rsidR="00FA0F5D">
        <w:rPr>
          <w:rFonts w:ascii="Times New Roman" w:eastAsia="Calibri" w:hAnsi="Times New Roman" w:cs="Times New Roman"/>
          <w:b/>
          <w:i/>
          <w:sz w:val="22"/>
          <w:szCs w:val="22"/>
        </w:rPr>
        <w:t xml:space="preserve">les </w:t>
      </w:r>
      <w:r w:rsidRPr="00B8327A">
        <w:rPr>
          <w:rFonts w:ascii="Times New Roman" w:eastAsia="Calibri" w:hAnsi="Times New Roman" w:cs="Times New Roman"/>
          <w:b/>
          <w:i/>
          <w:sz w:val="22"/>
          <w:szCs w:val="22"/>
        </w:rPr>
        <w:t>dépenses publiques consacrées à la conservation et à l’utilisation durable de la biodiversité et des écosystèmes</w:t>
      </w:r>
      <w:r>
        <w:rPr>
          <w:rFonts w:ascii="Times New Roman" w:eastAsia="Calibri" w:hAnsi="Times New Roman" w:cs="Times New Roman"/>
          <w:b/>
          <w:i/>
          <w:sz w:val="22"/>
          <w:szCs w:val="22"/>
        </w:rPr>
        <w:t xml:space="preserve"> (Indicateur 15.a.1) </w:t>
      </w:r>
      <w:r w:rsidRPr="00187950">
        <w:rPr>
          <w:rFonts w:ascii="Times New Roman" w:eastAsia="Calibri" w:hAnsi="Times New Roman" w:cs="Times New Roman"/>
          <w:sz w:val="22"/>
          <w:szCs w:val="22"/>
        </w:rPr>
        <w:t>notamment</w:t>
      </w:r>
      <w:r>
        <w:rPr>
          <w:rFonts w:ascii="Times New Roman" w:eastAsia="Calibri" w:hAnsi="Times New Roman" w:cs="Times New Roman"/>
          <w:b/>
          <w:i/>
          <w:sz w:val="22"/>
          <w:szCs w:val="22"/>
        </w:rPr>
        <w:t xml:space="preserve"> </w:t>
      </w:r>
      <w:r w:rsidRPr="00B8327A">
        <w:rPr>
          <w:rFonts w:ascii="Times New Roman" w:eastAsia="Calibri" w:hAnsi="Times New Roman" w:cs="Times New Roman"/>
          <w:sz w:val="22"/>
          <w:szCs w:val="22"/>
        </w:rPr>
        <w:t xml:space="preserve">le montant consacré à la conservation et à l’utilisation durable de la biodiversité et des écosystèmes a connu </w:t>
      </w:r>
      <w:r w:rsidR="00FA0F5D">
        <w:rPr>
          <w:rFonts w:ascii="Times New Roman" w:eastAsia="Calibri" w:hAnsi="Times New Roman" w:cs="Times New Roman"/>
          <w:sz w:val="22"/>
          <w:szCs w:val="22"/>
        </w:rPr>
        <w:t xml:space="preserve">une </w:t>
      </w:r>
      <w:r w:rsidRPr="00B8327A">
        <w:rPr>
          <w:rFonts w:ascii="Times New Roman" w:eastAsia="Calibri" w:hAnsi="Times New Roman" w:cs="Times New Roman"/>
          <w:sz w:val="22"/>
          <w:szCs w:val="22"/>
        </w:rPr>
        <w:t xml:space="preserve">diminution considérable de plus </w:t>
      </w:r>
      <w:r w:rsidR="00FA0F5D">
        <w:rPr>
          <w:rFonts w:ascii="Times New Roman" w:eastAsia="Calibri" w:hAnsi="Times New Roman" w:cs="Times New Roman"/>
          <w:sz w:val="22"/>
          <w:szCs w:val="22"/>
        </w:rPr>
        <w:t xml:space="preserve">de </w:t>
      </w:r>
      <w:r w:rsidRPr="00B8327A">
        <w:rPr>
          <w:rFonts w:ascii="Times New Roman" w:eastAsia="Calibri" w:hAnsi="Times New Roman" w:cs="Times New Roman"/>
          <w:sz w:val="22"/>
          <w:szCs w:val="22"/>
        </w:rPr>
        <w:t>60% passant de 20 872 727,27 de dollars en 2017 à 6 600 000,00 de dollars en 2018 (RNV 2020).</w:t>
      </w:r>
      <w:r w:rsidRPr="00B8327A">
        <w:rPr>
          <w:rFonts w:ascii="Times New Roman" w:hAnsi="Times New Roman" w:cs="Times New Roman"/>
          <w:sz w:val="22"/>
          <w:szCs w:val="22"/>
        </w:rPr>
        <w:t xml:space="preserve"> </w:t>
      </w:r>
    </w:p>
    <w:p w14:paraId="6BC39671" w14:textId="77777777" w:rsidR="0028280C" w:rsidRPr="00B8327A"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C56D46">
        <w:rPr>
          <w:rFonts w:ascii="Times New Roman" w:hAnsi="Times New Roman" w:cs="Times New Roman"/>
          <w:b/>
          <w:i/>
          <w:sz w:val="22"/>
          <w:szCs w:val="22"/>
        </w:rPr>
        <w:t>ODD 15 </w:t>
      </w:r>
      <w:r>
        <w:rPr>
          <w:rFonts w:ascii="Times New Roman" w:hAnsi="Times New Roman" w:cs="Times New Roman"/>
          <w:i/>
          <w:sz w:val="22"/>
          <w:szCs w:val="22"/>
        </w:rPr>
        <w:t xml:space="preserve">: </w:t>
      </w:r>
      <w:r w:rsidRPr="00C56D46">
        <w:rPr>
          <w:rFonts w:ascii="Times New Roman" w:hAnsi="Times New Roman" w:cs="Times New Roman"/>
          <w:i/>
          <w:sz w:val="22"/>
          <w:szCs w:val="22"/>
        </w:rPr>
        <w:t>L’aide</w:t>
      </w:r>
      <w:r w:rsidRPr="00B8327A">
        <w:rPr>
          <w:rFonts w:ascii="Times New Roman" w:hAnsi="Times New Roman" w:cs="Times New Roman"/>
          <w:b/>
          <w:i/>
          <w:sz w:val="22"/>
          <w:szCs w:val="22"/>
        </w:rPr>
        <w:t xml:space="preserve"> publique au développement et dépenses publiques consacrées à la conservation et à l’utilisation durable de la biodiversité et des écosystèmes</w:t>
      </w:r>
      <w:r>
        <w:rPr>
          <w:rFonts w:ascii="Times New Roman" w:hAnsi="Times New Roman" w:cs="Times New Roman"/>
          <w:b/>
          <w:i/>
          <w:sz w:val="22"/>
          <w:szCs w:val="22"/>
        </w:rPr>
        <w:t xml:space="preserve"> (Indicateur 15.b.1) </w:t>
      </w:r>
      <w:r w:rsidRPr="00B8327A">
        <w:rPr>
          <w:rFonts w:ascii="Times New Roman" w:hAnsi="Times New Roman" w:cs="Times New Roman"/>
          <w:sz w:val="22"/>
          <w:szCs w:val="22"/>
        </w:rPr>
        <w:t>ont aussi connu une baisse drastique sur la période 2015-2017, passant de 9 200 000,00 de dollars en 2015 à 5 272 727,27 de dollars en 2017 (RNV 2020).</w:t>
      </w:r>
    </w:p>
    <w:bookmarkEnd w:id="339"/>
    <w:bookmarkEnd w:id="340"/>
    <w:p w14:paraId="496F555A" w14:textId="77777777" w:rsidR="0028280C" w:rsidRDefault="0028280C" w:rsidP="0028280C">
      <w:pPr>
        <w:pStyle w:val="Corpsdetexte"/>
      </w:pPr>
      <w:r w:rsidRPr="008177F8">
        <w:t xml:space="preserve">L’analyse des progrès réalisés </w:t>
      </w:r>
      <w:r>
        <w:t>vers l’atteinte de l’ODD 11 « </w:t>
      </w:r>
      <w:r w:rsidRPr="008177F8">
        <w:rPr>
          <w:i/>
          <w:iCs/>
        </w:rPr>
        <w:t>Ville et établissement humain résilient et durable, éne</w:t>
      </w:r>
      <w:r>
        <w:rPr>
          <w:i/>
          <w:iCs/>
        </w:rPr>
        <w:t xml:space="preserve">rgies, transport et espace vert » </w:t>
      </w:r>
      <w:r>
        <w:t xml:space="preserve">permet </w:t>
      </w:r>
      <w:r w:rsidRPr="008177F8">
        <w:t xml:space="preserve">de </w:t>
      </w:r>
      <w:r>
        <w:t>dresser la situation suivante :</w:t>
      </w:r>
    </w:p>
    <w:p w14:paraId="4F2A318A" w14:textId="66029C5F" w:rsidR="0028280C" w:rsidRPr="00905C04" w:rsidRDefault="0028280C" w:rsidP="0028280C">
      <w:pPr>
        <w:pStyle w:val="Corpsdetexte"/>
      </w:pPr>
      <w:r w:rsidRPr="00C56D46">
        <w:rPr>
          <w:b/>
          <w:i/>
        </w:rPr>
        <w:t>ODD 11</w:t>
      </w:r>
      <w:r>
        <w:t xml:space="preserve"> : La </w:t>
      </w:r>
      <w:r w:rsidRPr="00905C04">
        <w:rPr>
          <w:b/>
          <w:i/>
        </w:rPr>
        <w:t>p</w:t>
      </w:r>
      <w:r w:rsidRPr="00B8327A">
        <w:rPr>
          <w:b/>
          <w:i/>
          <w:szCs w:val="22"/>
        </w:rPr>
        <w:t>roportion de la population urbaine vivant dans des quartiers de taudis, des implantations sauvages ou des logements inadéquats (</w:t>
      </w:r>
      <w:r>
        <w:rPr>
          <w:b/>
          <w:i/>
          <w:szCs w:val="22"/>
        </w:rPr>
        <w:t>Indicateur 11.1.1, c</w:t>
      </w:r>
      <w:r w:rsidRPr="00B8327A">
        <w:rPr>
          <w:b/>
          <w:i/>
          <w:szCs w:val="22"/>
        </w:rPr>
        <w:t>ible 11.1</w:t>
      </w:r>
      <w:r w:rsidRPr="00B8327A">
        <w:rPr>
          <w:szCs w:val="22"/>
        </w:rPr>
        <w:t>)</w:t>
      </w:r>
      <w:r w:rsidRPr="00B8327A">
        <w:rPr>
          <w:rStyle w:val="Appelnotedebasdep"/>
          <w:szCs w:val="22"/>
        </w:rPr>
        <w:footnoteReference w:id="98"/>
      </w:r>
      <w:r>
        <w:rPr>
          <w:szCs w:val="22"/>
        </w:rPr>
        <w:t xml:space="preserve"> était estimée à </w:t>
      </w:r>
      <w:r w:rsidRPr="00B8327A">
        <w:rPr>
          <w:szCs w:val="22"/>
        </w:rPr>
        <w:t xml:space="preserve">17,9% en 2012 </w:t>
      </w:r>
      <w:r>
        <w:rPr>
          <w:szCs w:val="22"/>
        </w:rPr>
        <w:t xml:space="preserve">notamment pour </w:t>
      </w:r>
      <w:r w:rsidRPr="00B8327A">
        <w:rPr>
          <w:szCs w:val="22"/>
        </w:rPr>
        <w:t>la po</w:t>
      </w:r>
      <w:r>
        <w:rPr>
          <w:szCs w:val="22"/>
        </w:rPr>
        <w:t>pulation urbaine du Niger viva</w:t>
      </w:r>
      <w:r w:rsidRPr="00B8327A">
        <w:rPr>
          <w:szCs w:val="22"/>
        </w:rPr>
        <w:t xml:space="preserve">nt dans des conditions indécentes de logements </w:t>
      </w:r>
      <w:r w:rsidR="008B5B12">
        <w:rPr>
          <w:szCs w:val="22"/>
        </w:rPr>
        <w:lastRenderedPageBreak/>
        <w:t>(</w:t>
      </w:r>
      <w:r w:rsidRPr="00B8327A">
        <w:rPr>
          <w:szCs w:val="22"/>
        </w:rPr>
        <w:t>Enquête sur les Conditions de Vie des Ménages et de l’Agriculture (INS 2017)</w:t>
      </w:r>
      <w:r w:rsidRPr="00B8327A">
        <w:rPr>
          <w:rStyle w:val="Appelnotedebasdep"/>
          <w:szCs w:val="22"/>
        </w:rPr>
        <w:footnoteReference w:id="99"/>
      </w:r>
      <w:r w:rsidRPr="00B8327A">
        <w:rPr>
          <w:szCs w:val="22"/>
        </w:rPr>
        <w:t>. Cette enquête prévoyait alors un taux de 10% en 2021 (RNV ODD 2021. Mais aucune donnée récente n’est disponible pour apprécier objectivement les progrès réalisés à ce niveau. On peut tout de même entrevoir une amélioration de la situation au regard des réalisations suivantes : (i) 1117 logements sociaux ont été construits à Niamey, Maradi et Dosso sur la période 2016-2018 ; (ii) 110 lotissements ont été créés entre 2016 et 2019 ; (iii) environ 2000 titres fonciers ont été établis et 14 lotissements immatriculés de 2017 à 2019 ; (iv) 430 mappes cadastrales à Niamey ont été produites et 176 plans d’assemblage à l’échelle 1/5000ème  ont été élaborés ; (v) 3 conventions totalisant 6550 logements en Partenariat Public Privé ont été élaborées ; (vi) une étude de faisabilité d’une première tranche de 2000 logements sur un programme de 25000 logements a été finalisée en 2018 ; (vii) Une Banque de l’Habitat du Niger créée a démarré ses activités en 2018 ; (viii) l’adoption du décret n° 2017-933 PRN/PDH du 05 décembre 2017 portant création du Fonds National de l’Habitat qui vise à assurer l’accès de tous à un logement décent et des services de base adéquats.</w:t>
      </w:r>
      <w:r>
        <w:rPr>
          <w:szCs w:val="22"/>
        </w:rPr>
        <w:t xml:space="preserve"> </w:t>
      </w:r>
    </w:p>
    <w:p w14:paraId="20BB5ECA" w14:textId="77777777" w:rsidR="0028280C" w:rsidRPr="00B8327A"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C56D46">
        <w:rPr>
          <w:rFonts w:ascii="Times New Roman" w:hAnsi="Times New Roman" w:cs="Times New Roman"/>
          <w:b/>
          <w:i/>
          <w:sz w:val="22"/>
          <w:szCs w:val="22"/>
        </w:rPr>
        <w:t>ODD 11</w:t>
      </w:r>
      <w:r>
        <w:rPr>
          <w:rFonts w:ascii="Times New Roman" w:hAnsi="Times New Roman" w:cs="Times New Roman"/>
          <w:b/>
          <w:i/>
          <w:sz w:val="22"/>
          <w:szCs w:val="22"/>
        </w:rPr>
        <w:t xml:space="preserve"> : </w:t>
      </w:r>
      <w:r w:rsidRPr="008B5B12">
        <w:rPr>
          <w:rFonts w:ascii="Times New Roman" w:hAnsi="Times New Roman" w:cs="Times New Roman"/>
          <w:b/>
          <w:bCs/>
          <w:i/>
          <w:sz w:val="22"/>
          <w:szCs w:val="22"/>
        </w:rPr>
        <w:t xml:space="preserve">Le </w:t>
      </w:r>
      <w:r w:rsidRPr="00B8327A">
        <w:rPr>
          <w:rFonts w:ascii="Times New Roman" w:hAnsi="Times New Roman" w:cs="Times New Roman"/>
          <w:b/>
          <w:bCs/>
          <w:i/>
          <w:sz w:val="22"/>
          <w:szCs w:val="22"/>
        </w:rPr>
        <w:t>ratio entre le taux d’utilisation des terres et le taux de croissance démographique</w:t>
      </w:r>
      <w:r w:rsidRPr="00B8327A">
        <w:rPr>
          <w:rFonts w:ascii="Times New Roman" w:hAnsi="Times New Roman" w:cs="Times New Roman"/>
          <w:sz w:val="22"/>
          <w:szCs w:val="22"/>
        </w:rPr>
        <w:t xml:space="preserve"> (</w:t>
      </w:r>
      <w:r w:rsidRPr="00B8327A">
        <w:rPr>
          <w:rFonts w:ascii="Times New Roman" w:hAnsi="Times New Roman" w:cs="Times New Roman"/>
          <w:b/>
          <w:bCs/>
          <w:i/>
          <w:sz w:val="22"/>
          <w:szCs w:val="22"/>
        </w:rPr>
        <w:t>Indicateur 11.3.1</w:t>
      </w:r>
      <w:r>
        <w:rPr>
          <w:rFonts w:ascii="Times New Roman" w:hAnsi="Times New Roman" w:cs="Times New Roman"/>
          <w:i/>
          <w:sz w:val="22"/>
          <w:szCs w:val="22"/>
        </w:rPr>
        <w:t xml:space="preserve">, </w:t>
      </w:r>
      <w:r w:rsidRPr="00B8327A">
        <w:rPr>
          <w:rFonts w:ascii="Times New Roman" w:hAnsi="Times New Roman" w:cs="Times New Roman"/>
          <w:b/>
          <w:bCs/>
          <w:sz w:val="22"/>
          <w:szCs w:val="22"/>
        </w:rPr>
        <w:t>cible 11.3</w:t>
      </w:r>
      <w:r w:rsidRPr="00B8327A">
        <w:rPr>
          <w:rFonts w:ascii="Times New Roman" w:hAnsi="Times New Roman" w:cs="Times New Roman"/>
          <w:sz w:val="22"/>
          <w:szCs w:val="22"/>
        </w:rPr>
        <w:t>)</w:t>
      </w:r>
      <w:r w:rsidRPr="00B8327A">
        <w:rPr>
          <w:rStyle w:val="Appelnotedebasdep"/>
          <w:rFonts w:ascii="Times New Roman" w:hAnsi="Times New Roman" w:cs="Times New Roman"/>
          <w:sz w:val="22"/>
          <w:szCs w:val="22"/>
        </w:rPr>
        <w:footnoteReference w:id="100"/>
      </w:r>
      <w:r>
        <w:rPr>
          <w:rFonts w:ascii="Times New Roman" w:hAnsi="Times New Roman" w:cs="Times New Roman"/>
          <w:sz w:val="22"/>
          <w:szCs w:val="22"/>
        </w:rPr>
        <w:t xml:space="preserve"> </w:t>
      </w:r>
      <w:r w:rsidRPr="00B8327A">
        <w:rPr>
          <w:rFonts w:ascii="Times New Roman" w:hAnsi="Times New Roman" w:cs="Times New Roman"/>
          <w:sz w:val="22"/>
          <w:szCs w:val="22"/>
        </w:rPr>
        <w:t xml:space="preserve">était </w:t>
      </w:r>
      <w:r>
        <w:rPr>
          <w:rFonts w:ascii="Times New Roman" w:hAnsi="Times New Roman" w:cs="Times New Roman"/>
          <w:sz w:val="22"/>
          <w:szCs w:val="22"/>
        </w:rPr>
        <w:t>estimé à</w:t>
      </w:r>
      <w:r w:rsidRPr="00B8327A">
        <w:rPr>
          <w:rFonts w:ascii="Times New Roman" w:hAnsi="Times New Roman" w:cs="Times New Roman"/>
          <w:sz w:val="22"/>
          <w:szCs w:val="22"/>
        </w:rPr>
        <w:t xml:space="preserve"> 10,16</w:t>
      </w:r>
      <w:r w:rsidRPr="00B8327A">
        <w:rPr>
          <w:rStyle w:val="Appelnotedebasdep"/>
          <w:rFonts w:ascii="Times New Roman" w:hAnsi="Times New Roman" w:cs="Times New Roman"/>
          <w:sz w:val="22"/>
          <w:szCs w:val="22"/>
        </w:rPr>
        <w:footnoteReference w:id="101"/>
      </w:r>
      <w:r>
        <w:rPr>
          <w:rFonts w:ascii="Times New Roman" w:hAnsi="Times New Roman" w:cs="Times New Roman"/>
          <w:sz w:val="22"/>
          <w:szCs w:val="22"/>
        </w:rPr>
        <w:t xml:space="preserve"> en </w:t>
      </w:r>
      <w:r w:rsidRPr="00B8327A">
        <w:rPr>
          <w:rFonts w:ascii="Times New Roman" w:hAnsi="Times New Roman" w:cs="Times New Roman"/>
          <w:sz w:val="22"/>
          <w:szCs w:val="22"/>
        </w:rPr>
        <w:t>2015, Mais actuellement il n’y a aucune donnée récente permettant d’apprécier les progrès réalisés dans le domaine.</w:t>
      </w:r>
    </w:p>
    <w:p w14:paraId="62E962CE" w14:textId="7F279F59" w:rsidR="008B5B12" w:rsidRPr="00E872CF"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C56D46">
        <w:rPr>
          <w:rFonts w:ascii="Times New Roman" w:hAnsi="Times New Roman" w:cs="Times New Roman"/>
          <w:b/>
          <w:i/>
          <w:sz w:val="22"/>
          <w:szCs w:val="22"/>
        </w:rPr>
        <w:t>ODD 11</w:t>
      </w:r>
      <w:r>
        <w:rPr>
          <w:rFonts w:ascii="Times New Roman" w:hAnsi="Times New Roman" w:cs="Times New Roman"/>
          <w:b/>
          <w:i/>
          <w:sz w:val="22"/>
          <w:szCs w:val="22"/>
        </w:rPr>
        <w:t xml:space="preserve"> : </w:t>
      </w:r>
      <w:r w:rsidRPr="00ED7877">
        <w:rPr>
          <w:rFonts w:ascii="Times New Roman" w:hAnsi="Times New Roman" w:cs="Times New Roman"/>
          <w:sz w:val="22"/>
          <w:szCs w:val="22"/>
        </w:rPr>
        <w:t>Pour</w:t>
      </w:r>
      <w:r>
        <w:rPr>
          <w:rFonts w:ascii="Times New Roman" w:hAnsi="Times New Roman" w:cs="Times New Roman"/>
          <w:b/>
          <w:i/>
          <w:sz w:val="22"/>
          <w:szCs w:val="22"/>
        </w:rPr>
        <w:t xml:space="preserve"> la p</w:t>
      </w:r>
      <w:r w:rsidRPr="00B8327A">
        <w:rPr>
          <w:rFonts w:ascii="Times New Roman" w:hAnsi="Times New Roman" w:cs="Times New Roman"/>
          <w:b/>
          <w:i/>
          <w:sz w:val="22"/>
          <w:szCs w:val="22"/>
        </w:rPr>
        <w:t xml:space="preserve">roportion de villes dotées d’une structure de participation directe de la société civile à la gestion et à </w:t>
      </w:r>
      <w:r w:rsidRPr="00E872CF">
        <w:rPr>
          <w:rFonts w:ascii="Times New Roman" w:hAnsi="Times New Roman" w:cs="Times New Roman"/>
          <w:b/>
          <w:i/>
          <w:sz w:val="22"/>
          <w:szCs w:val="22"/>
        </w:rPr>
        <w:t xml:space="preserve">l’aménagement des villes, fonctionnant de façon régulière et démocratique (Indicateur 11.3.2), </w:t>
      </w:r>
      <w:r w:rsidRPr="00E872CF">
        <w:rPr>
          <w:rFonts w:ascii="Times New Roman" w:hAnsi="Times New Roman" w:cs="Times New Roman"/>
          <w:sz w:val="22"/>
          <w:szCs w:val="22"/>
        </w:rPr>
        <w:t>Aucune donnée n’est disponible malgré l’existence de dispositions juridiques favorables dans le secteur</w:t>
      </w:r>
      <w:r w:rsidRPr="00E872CF">
        <w:rPr>
          <w:rStyle w:val="Appelnotedebasdep"/>
          <w:rFonts w:ascii="Times New Roman" w:hAnsi="Times New Roman" w:cs="Times New Roman"/>
          <w:sz w:val="22"/>
          <w:szCs w:val="22"/>
        </w:rPr>
        <w:footnoteReference w:id="102"/>
      </w:r>
      <w:r w:rsidR="00B218A7" w:rsidRPr="00E872CF">
        <w:rPr>
          <w:rFonts w:ascii="Times New Roman" w:hAnsi="Times New Roman" w:cs="Times New Roman"/>
          <w:sz w:val="22"/>
          <w:szCs w:val="22"/>
        </w:rPr>
        <w:t>.</w:t>
      </w:r>
    </w:p>
    <w:p w14:paraId="0775490F" w14:textId="6DAD1B62" w:rsidR="0028280C" w:rsidRPr="00E872CF" w:rsidRDefault="0028280C" w:rsidP="00EF7E8E">
      <w:pPr>
        <w:pStyle w:val="Corpsdetexte3"/>
        <w:pBdr>
          <w:top w:val="single" w:sz="4" w:space="1" w:color="auto"/>
          <w:left w:val="single" w:sz="4" w:space="4" w:color="auto"/>
          <w:bottom w:val="single" w:sz="4" w:space="1" w:color="auto"/>
          <w:right w:val="single" w:sz="4" w:space="4" w:color="auto"/>
        </w:pBdr>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E872CF">
        <w:rPr>
          <w:rFonts w:ascii="Times New Roman" w:hAnsi="Times New Roman" w:cs="Times New Roman"/>
          <w:b/>
          <w:i/>
          <w:sz w:val="22"/>
          <w:szCs w:val="22"/>
        </w:rPr>
        <w:t xml:space="preserve">ODD 11 : </w:t>
      </w:r>
      <w:r w:rsidRPr="00E872CF">
        <w:rPr>
          <w:rFonts w:ascii="Times New Roman" w:hAnsi="Times New Roman" w:cs="Times New Roman"/>
          <w:sz w:val="22"/>
          <w:szCs w:val="22"/>
        </w:rPr>
        <w:t>S’agissant de la</w:t>
      </w:r>
      <w:r w:rsidRPr="00E872CF">
        <w:rPr>
          <w:rFonts w:ascii="Times New Roman" w:hAnsi="Times New Roman" w:cs="Times New Roman"/>
          <w:b/>
          <w:i/>
          <w:sz w:val="22"/>
          <w:szCs w:val="22"/>
        </w:rPr>
        <w:t xml:space="preserve"> proportion de déchets urbains solides régulièrement collectés et éliminés de façon adéquate sur le total des déchets urbains solides générés, par ville (Indicateur 11.6.1, cible 11.6</w:t>
      </w:r>
      <w:r w:rsidRPr="00E872CF">
        <w:rPr>
          <w:rFonts w:ascii="Times New Roman" w:hAnsi="Times New Roman" w:cs="Times New Roman"/>
          <w:sz w:val="22"/>
          <w:szCs w:val="22"/>
        </w:rPr>
        <w:t>)</w:t>
      </w:r>
      <w:r w:rsidRPr="00E872CF">
        <w:rPr>
          <w:rStyle w:val="Appelnotedebasdep"/>
          <w:rFonts w:ascii="Times New Roman" w:hAnsi="Times New Roman" w:cs="Times New Roman"/>
          <w:sz w:val="22"/>
          <w:szCs w:val="22"/>
        </w:rPr>
        <w:footnoteReference w:id="103"/>
      </w:r>
      <w:r w:rsidRPr="00E872CF">
        <w:rPr>
          <w:rFonts w:ascii="Times New Roman" w:hAnsi="Times New Roman" w:cs="Times New Roman"/>
          <w:sz w:val="22"/>
          <w:szCs w:val="22"/>
        </w:rPr>
        <w:t>, 43129 tonnes de déchets solides municipaux ont été collectés globalement et plus ou moins régulièrement dans les villes de Maradi, Agadez, Diffa et Zinder. À cela s’ajoutent 245 tonnes de déchets plastiques dans les villes de Diffa, Maradi et Zinder (RAMO du MESU/DD_2019)</w:t>
      </w:r>
      <w:r w:rsidRPr="00E872CF">
        <w:rPr>
          <w:rStyle w:val="Appelnotedebasdep"/>
          <w:rFonts w:ascii="Times New Roman" w:hAnsi="Times New Roman" w:cs="Times New Roman"/>
          <w:sz w:val="22"/>
          <w:szCs w:val="22"/>
        </w:rPr>
        <w:footnoteReference w:id="104"/>
      </w:r>
      <w:r w:rsidRPr="00E872CF">
        <w:rPr>
          <w:rFonts w:ascii="Times New Roman" w:hAnsi="Times New Roman" w:cs="Times New Roman"/>
          <w:sz w:val="22"/>
          <w:szCs w:val="22"/>
        </w:rPr>
        <w:t>. Mais</w:t>
      </w:r>
      <w:r w:rsidR="008B5B12" w:rsidRPr="00E872CF">
        <w:rPr>
          <w:rFonts w:ascii="Times New Roman" w:hAnsi="Times New Roman" w:cs="Times New Roman"/>
          <w:sz w:val="22"/>
          <w:szCs w:val="22"/>
        </w:rPr>
        <w:t>,</w:t>
      </w:r>
      <w:r w:rsidRPr="00E872CF">
        <w:rPr>
          <w:rFonts w:ascii="Times New Roman" w:hAnsi="Times New Roman" w:cs="Times New Roman"/>
          <w:sz w:val="22"/>
          <w:szCs w:val="22"/>
        </w:rPr>
        <w:t xml:space="preserve"> l’élimination de tous ces déchets reste encore un problème à résoudre par les municipalités étant donné qu’ils se trouvent presque tous versés dans des décharges publiques. </w:t>
      </w:r>
    </w:p>
    <w:p w14:paraId="39807707" w14:textId="64D41119" w:rsidR="0028280C" w:rsidRPr="00B8327A"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E872CF">
        <w:rPr>
          <w:rFonts w:ascii="Times New Roman" w:hAnsi="Times New Roman" w:cs="Times New Roman"/>
          <w:b/>
          <w:i/>
          <w:sz w:val="22"/>
          <w:szCs w:val="22"/>
        </w:rPr>
        <w:t>ODD 11</w:t>
      </w:r>
      <w:r w:rsidRPr="00E872CF">
        <w:rPr>
          <w:sz w:val="22"/>
          <w:szCs w:val="22"/>
        </w:rPr>
        <w:t> :</w:t>
      </w:r>
      <w:r w:rsidRPr="00E872CF">
        <w:t xml:space="preserve">  </w:t>
      </w:r>
      <w:r w:rsidRPr="00E872CF">
        <w:rPr>
          <w:rFonts w:ascii="Times New Roman" w:hAnsi="Times New Roman" w:cs="Times New Roman"/>
          <w:sz w:val="22"/>
          <w:szCs w:val="22"/>
        </w:rPr>
        <w:t>Le</w:t>
      </w:r>
      <w:r w:rsidRPr="00E872CF">
        <w:rPr>
          <w:rFonts w:ascii="Times New Roman" w:hAnsi="Times New Roman" w:cs="Times New Roman"/>
          <w:b/>
          <w:i/>
          <w:sz w:val="22"/>
          <w:szCs w:val="22"/>
        </w:rPr>
        <w:t xml:space="preserve"> Niveau moyen annuel de particules fines (PM 2,5 et PM 10, par exemple) dans les villes, pondéré en fonction du nombre d’habitants (Indicateur 11.6.2) </w:t>
      </w:r>
      <w:r w:rsidRPr="00E872CF">
        <w:rPr>
          <w:rFonts w:ascii="Times New Roman" w:hAnsi="Times New Roman" w:cs="Times New Roman"/>
          <w:sz w:val="22"/>
          <w:szCs w:val="22"/>
        </w:rPr>
        <w:t>permet d’apprécier</w:t>
      </w:r>
      <w:r w:rsidRPr="00E872CF">
        <w:rPr>
          <w:rFonts w:ascii="Times New Roman" w:hAnsi="Times New Roman" w:cs="Times New Roman"/>
          <w:b/>
          <w:i/>
          <w:sz w:val="22"/>
          <w:szCs w:val="22"/>
        </w:rPr>
        <w:t xml:space="preserve"> </w:t>
      </w:r>
      <w:r w:rsidRPr="00E872CF">
        <w:rPr>
          <w:rFonts w:ascii="Times New Roman" w:hAnsi="Times New Roman" w:cs="Times New Roman"/>
          <w:sz w:val="22"/>
          <w:szCs w:val="22"/>
        </w:rPr>
        <w:t xml:space="preserve">la qualité de l’air ou de l’atmosphère qui est très importante </w:t>
      </w:r>
      <w:r w:rsidRPr="00B8327A">
        <w:rPr>
          <w:rFonts w:ascii="Times New Roman" w:hAnsi="Times New Roman" w:cs="Times New Roman"/>
          <w:sz w:val="22"/>
          <w:szCs w:val="22"/>
        </w:rPr>
        <w:t xml:space="preserve">pour la vie notamment dans les villes exposées à plusieurs facteurs de pollution. </w:t>
      </w:r>
      <w:r w:rsidR="008B5B12">
        <w:rPr>
          <w:rFonts w:ascii="Times New Roman" w:hAnsi="Times New Roman" w:cs="Times New Roman"/>
          <w:sz w:val="22"/>
          <w:szCs w:val="22"/>
        </w:rPr>
        <w:t>P</w:t>
      </w:r>
      <w:r w:rsidRPr="00B8327A">
        <w:rPr>
          <w:rFonts w:ascii="Times New Roman" w:hAnsi="Times New Roman" w:cs="Times New Roman"/>
          <w:sz w:val="22"/>
          <w:szCs w:val="22"/>
        </w:rPr>
        <w:t xml:space="preserve">our les villes du Niger, cette situation n’est pas connue </w:t>
      </w:r>
      <w:r w:rsidR="008B5B12">
        <w:rPr>
          <w:rFonts w:ascii="Times New Roman" w:hAnsi="Times New Roman" w:cs="Times New Roman"/>
          <w:sz w:val="22"/>
          <w:szCs w:val="22"/>
        </w:rPr>
        <w:t xml:space="preserve">du fait du manque </w:t>
      </w:r>
      <w:r w:rsidRPr="00B8327A">
        <w:rPr>
          <w:rFonts w:ascii="Times New Roman" w:hAnsi="Times New Roman" w:cs="Times New Roman"/>
          <w:sz w:val="22"/>
          <w:szCs w:val="22"/>
        </w:rPr>
        <w:t xml:space="preserve"> d’appareils pour effectuer les mesures</w:t>
      </w:r>
      <w:r w:rsidRPr="00B8327A">
        <w:rPr>
          <w:rStyle w:val="Appelnotedebasdep"/>
          <w:rFonts w:ascii="Times New Roman" w:hAnsi="Times New Roman" w:cs="Times New Roman"/>
          <w:sz w:val="22"/>
          <w:szCs w:val="22"/>
        </w:rPr>
        <w:footnoteReference w:id="105"/>
      </w:r>
      <w:r w:rsidRPr="00B8327A">
        <w:rPr>
          <w:rFonts w:ascii="Times New Roman" w:hAnsi="Times New Roman" w:cs="Times New Roman"/>
          <w:sz w:val="22"/>
          <w:szCs w:val="22"/>
        </w:rPr>
        <w:t xml:space="preserve">. Un effort particulier doit par conséquent être </w:t>
      </w:r>
      <w:r w:rsidR="008B5B12">
        <w:rPr>
          <w:rFonts w:ascii="Times New Roman" w:hAnsi="Times New Roman" w:cs="Times New Roman"/>
          <w:sz w:val="22"/>
          <w:szCs w:val="22"/>
        </w:rPr>
        <w:t xml:space="preserve">fourni </w:t>
      </w:r>
      <w:r w:rsidRPr="00B8327A">
        <w:rPr>
          <w:rFonts w:ascii="Times New Roman" w:hAnsi="Times New Roman" w:cs="Times New Roman"/>
          <w:sz w:val="22"/>
          <w:szCs w:val="22"/>
        </w:rPr>
        <w:t>par les municipalités dans ce domaine.</w:t>
      </w:r>
    </w:p>
    <w:p w14:paraId="10631253" w14:textId="77777777" w:rsidR="0028280C" w:rsidRPr="00B8327A"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C56D46">
        <w:rPr>
          <w:rFonts w:ascii="Times New Roman" w:hAnsi="Times New Roman" w:cs="Times New Roman"/>
          <w:b/>
          <w:i/>
          <w:sz w:val="22"/>
          <w:szCs w:val="22"/>
        </w:rPr>
        <w:t>ODD 11</w:t>
      </w:r>
      <w:r>
        <w:rPr>
          <w:rFonts w:ascii="Times New Roman" w:hAnsi="Times New Roman" w:cs="Times New Roman"/>
          <w:b/>
          <w:i/>
          <w:sz w:val="22"/>
          <w:szCs w:val="22"/>
        </w:rPr>
        <w:t xml:space="preserve"> : </w:t>
      </w:r>
      <w:r w:rsidRPr="00ED7877">
        <w:rPr>
          <w:rFonts w:ascii="Times New Roman" w:hAnsi="Times New Roman" w:cs="Times New Roman"/>
          <w:sz w:val="22"/>
          <w:szCs w:val="22"/>
        </w:rPr>
        <w:t>La</w:t>
      </w:r>
      <w:r>
        <w:rPr>
          <w:rFonts w:ascii="Times New Roman" w:hAnsi="Times New Roman" w:cs="Times New Roman"/>
          <w:b/>
          <w:i/>
          <w:sz w:val="22"/>
          <w:szCs w:val="22"/>
        </w:rPr>
        <w:t xml:space="preserve"> p</w:t>
      </w:r>
      <w:r w:rsidRPr="00B8327A">
        <w:rPr>
          <w:rFonts w:ascii="Times New Roman" w:hAnsi="Times New Roman" w:cs="Times New Roman"/>
          <w:b/>
          <w:i/>
          <w:sz w:val="22"/>
          <w:szCs w:val="22"/>
        </w:rPr>
        <w:t>roportion d’habitants vivant dans des villes qui mettent en œuvre des plans de développement urbains et régionaux tenant compte des projections démographiques et des ressources nécessaires, par taille de la ville (</w:t>
      </w:r>
      <w:r>
        <w:rPr>
          <w:rFonts w:ascii="Times New Roman" w:hAnsi="Times New Roman" w:cs="Times New Roman"/>
          <w:b/>
          <w:i/>
          <w:sz w:val="22"/>
          <w:szCs w:val="22"/>
        </w:rPr>
        <w:t xml:space="preserve">Indicateur 11.a.1, </w:t>
      </w:r>
      <w:r w:rsidRPr="00B8327A">
        <w:rPr>
          <w:rFonts w:ascii="Times New Roman" w:hAnsi="Times New Roman" w:cs="Times New Roman"/>
          <w:b/>
          <w:i/>
          <w:sz w:val="22"/>
          <w:szCs w:val="22"/>
        </w:rPr>
        <w:t>cible 11.a</w:t>
      </w:r>
      <w:r w:rsidRPr="00B8327A">
        <w:rPr>
          <w:rFonts w:ascii="Times New Roman" w:hAnsi="Times New Roman" w:cs="Times New Roman"/>
          <w:sz w:val="22"/>
          <w:szCs w:val="22"/>
        </w:rPr>
        <w:t>)</w:t>
      </w:r>
      <w:r w:rsidRPr="00B8327A">
        <w:rPr>
          <w:rStyle w:val="Appelnotedebasdep"/>
          <w:rFonts w:ascii="Times New Roman" w:hAnsi="Times New Roman" w:cs="Times New Roman"/>
          <w:color w:val="000000"/>
          <w:sz w:val="22"/>
          <w:szCs w:val="22"/>
        </w:rPr>
        <w:footnoteReference w:id="106"/>
      </w:r>
      <w:r>
        <w:rPr>
          <w:rFonts w:ascii="Times New Roman" w:hAnsi="Times New Roman" w:cs="Times New Roman"/>
          <w:sz w:val="22"/>
          <w:szCs w:val="22"/>
        </w:rPr>
        <w:t xml:space="preserve"> était estimée à</w:t>
      </w:r>
      <w:r w:rsidRPr="00B8327A">
        <w:rPr>
          <w:rFonts w:ascii="Times New Roman" w:hAnsi="Times New Roman" w:cs="Times New Roman"/>
          <w:sz w:val="22"/>
          <w:szCs w:val="22"/>
        </w:rPr>
        <w:t xml:space="preserve"> 51% des habitants des villes </w:t>
      </w:r>
      <w:r>
        <w:rPr>
          <w:rFonts w:ascii="Times New Roman" w:hAnsi="Times New Roman" w:cs="Times New Roman"/>
          <w:sz w:val="22"/>
          <w:szCs w:val="22"/>
        </w:rPr>
        <w:t>concernés</w:t>
      </w:r>
      <w:r w:rsidRPr="00B8327A">
        <w:rPr>
          <w:rStyle w:val="Appelnotedebasdep"/>
          <w:rFonts w:ascii="Times New Roman" w:hAnsi="Times New Roman" w:cs="Times New Roman"/>
          <w:sz w:val="22"/>
          <w:szCs w:val="22"/>
        </w:rPr>
        <w:footnoteReference w:id="107"/>
      </w:r>
      <w:r>
        <w:rPr>
          <w:rFonts w:ascii="Times New Roman" w:hAnsi="Times New Roman" w:cs="Times New Roman"/>
          <w:sz w:val="22"/>
          <w:szCs w:val="22"/>
        </w:rPr>
        <w:t xml:space="preserve"> en 2018. </w:t>
      </w:r>
      <w:r w:rsidRPr="00B8327A">
        <w:rPr>
          <w:rFonts w:ascii="Times New Roman" w:hAnsi="Times New Roman" w:cs="Times New Roman"/>
          <w:sz w:val="22"/>
          <w:szCs w:val="22"/>
        </w:rPr>
        <w:t>Mais aucune donnée de référence n’est disponible pour apprécier les progrès atteints dans ce domaine. Pourtant, des PDC et des PDR sont élaborés et mis à jour périodiquement respectivement par les communes et les régions pour permettre de disposer de données pertinentes.</w:t>
      </w:r>
    </w:p>
    <w:p w14:paraId="43C2B845" w14:textId="762C93F9" w:rsidR="0028280C" w:rsidRPr="00EF7E8E" w:rsidRDefault="0028280C" w:rsidP="00EF7E8E">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C56D46">
        <w:rPr>
          <w:rFonts w:ascii="Times New Roman" w:hAnsi="Times New Roman" w:cs="Times New Roman"/>
          <w:b/>
          <w:i/>
          <w:sz w:val="22"/>
          <w:szCs w:val="22"/>
        </w:rPr>
        <w:lastRenderedPageBreak/>
        <w:t>ODD 11</w:t>
      </w:r>
      <w:r>
        <w:rPr>
          <w:rFonts w:ascii="Times New Roman" w:hAnsi="Times New Roman" w:cs="Times New Roman"/>
          <w:b/>
          <w:i/>
          <w:sz w:val="22"/>
          <w:szCs w:val="22"/>
        </w:rPr>
        <w:t> : En ce qui concerne le « </w:t>
      </w:r>
      <w:r w:rsidRPr="00B8327A">
        <w:rPr>
          <w:rFonts w:ascii="Times New Roman" w:hAnsi="Times New Roman" w:cs="Times New Roman"/>
          <w:b/>
          <w:i/>
          <w:sz w:val="22"/>
          <w:szCs w:val="22"/>
        </w:rPr>
        <w:t>Nombre de pays ayant mis en place des stratégies nationales et locales pour la réduction des risques de catastrophe (</w:t>
      </w:r>
      <w:r>
        <w:rPr>
          <w:rFonts w:ascii="Times New Roman" w:hAnsi="Times New Roman" w:cs="Times New Roman"/>
          <w:b/>
          <w:i/>
          <w:sz w:val="22"/>
          <w:szCs w:val="22"/>
        </w:rPr>
        <w:t xml:space="preserve">Indicateur 11.b.2, </w:t>
      </w:r>
      <w:r w:rsidRPr="00B8327A">
        <w:rPr>
          <w:rFonts w:ascii="Times New Roman" w:hAnsi="Times New Roman" w:cs="Times New Roman"/>
          <w:b/>
          <w:i/>
          <w:sz w:val="22"/>
          <w:szCs w:val="22"/>
        </w:rPr>
        <w:t>cible 11.b</w:t>
      </w:r>
      <w:r w:rsidRPr="00B8327A">
        <w:rPr>
          <w:rFonts w:ascii="Times New Roman" w:hAnsi="Times New Roman" w:cs="Times New Roman"/>
          <w:sz w:val="22"/>
          <w:szCs w:val="22"/>
        </w:rPr>
        <w:t>)</w:t>
      </w:r>
      <w:r w:rsidRPr="00B8327A">
        <w:rPr>
          <w:rStyle w:val="Appelnotedebasdep"/>
          <w:rFonts w:ascii="Times New Roman" w:hAnsi="Times New Roman" w:cs="Times New Roman"/>
          <w:i/>
          <w:iCs/>
          <w:color w:val="000000"/>
          <w:sz w:val="22"/>
          <w:szCs w:val="22"/>
        </w:rPr>
        <w:footnoteReference w:id="108"/>
      </w:r>
      <w:r>
        <w:rPr>
          <w:rFonts w:ascii="Times New Roman" w:hAnsi="Times New Roman" w:cs="Times New Roman"/>
          <w:sz w:val="22"/>
          <w:szCs w:val="22"/>
        </w:rPr>
        <w:t xml:space="preserve">, </w:t>
      </w:r>
      <w:r w:rsidR="008B5B12" w:rsidRPr="00EF7E8E">
        <w:rPr>
          <w:rFonts w:ascii="Times New Roman" w:hAnsi="Times New Roman" w:cs="Times New Roman"/>
          <w:sz w:val="22"/>
          <w:szCs w:val="22"/>
        </w:rPr>
        <w:t>l</w:t>
      </w:r>
      <w:r w:rsidRPr="00EF7E8E">
        <w:rPr>
          <w:rFonts w:ascii="Times New Roman" w:hAnsi="Times New Roman" w:cs="Times New Roman"/>
          <w:sz w:val="22"/>
          <w:szCs w:val="22"/>
        </w:rPr>
        <w:t xml:space="preserve">e Niger fait partie des pays qui </w:t>
      </w:r>
      <w:r w:rsidR="008B5B12" w:rsidRPr="00EF7E8E">
        <w:rPr>
          <w:rFonts w:ascii="Times New Roman" w:hAnsi="Times New Roman" w:cs="Times New Roman"/>
          <w:sz w:val="22"/>
          <w:szCs w:val="22"/>
        </w:rPr>
        <w:t>mettent</w:t>
      </w:r>
      <w:r w:rsidRPr="00EF7E8E">
        <w:rPr>
          <w:rFonts w:ascii="Times New Roman" w:hAnsi="Times New Roman" w:cs="Times New Roman"/>
          <w:sz w:val="22"/>
          <w:szCs w:val="22"/>
        </w:rPr>
        <w:t xml:space="preserve"> en œuvre des stratégies et politiques en matière de réduction des risques de catastrophes notamment en ce qui concerne les villes. </w:t>
      </w:r>
      <w:r w:rsidR="008B5B12" w:rsidRPr="00EF7E8E">
        <w:rPr>
          <w:rFonts w:ascii="Times New Roman" w:hAnsi="Times New Roman" w:cs="Times New Roman"/>
          <w:sz w:val="22"/>
          <w:szCs w:val="22"/>
        </w:rPr>
        <w:t>A titre d’illustration, o</w:t>
      </w:r>
      <w:r w:rsidRPr="00EF7E8E">
        <w:rPr>
          <w:rFonts w:ascii="Times New Roman" w:hAnsi="Times New Roman" w:cs="Times New Roman"/>
          <w:sz w:val="22"/>
          <w:szCs w:val="22"/>
        </w:rPr>
        <w:t xml:space="preserve">n peut retenir les </w:t>
      </w:r>
      <w:r w:rsidR="008B5B12" w:rsidRPr="00EF7E8E">
        <w:rPr>
          <w:rFonts w:ascii="Times New Roman" w:hAnsi="Times New Roman" w:cs="Times New Roman"/>
          <w:sz w:val="22"/>
          <w:szCs w:val="22"/>
        </w:rPr>
        <w:t>initiatives suivantes : (i) La création du</w:t>
      </w:r>
      <w:r w:rsidRPr="00EF7E8E">
        <w:rPr>
          <w:rFonts w:ascii="Times New Roman" w:hAnsi="Times New Roman" w:cs="Times New Roman"/>
          <w:sz w:val="22"/>
          <w:szCs w:val="22"/>
        </w:rPr>
        <w:t xml:space="preserve"> Ministère de l’Action Humanitaire et de la G</w:t>
      </w:r>
      <w:r w:rsidR="008B5B12" w:rsidRPr="00EF7E8E">
        <w:rPr>
          <w:rFonts w:ascii="Times New Roman" w:hAnsi="Times New Roman" w:cs="Times New Roman"/>
          <w:sz w:val="22"/>
          <w:szCs w:val="22"/>
        </w:rPr>
        <w:t>estion des Catastrophes ; (ii) L</w:t>
      </w:r>
      <w:r w:rsidRPr="00EF7E8E">
        <w:rPr>
          <w:rFonts w:ascii="Times New Roman" w:hAnsi="Times New Roman" w:cs="Times New Roman"/>
          <w:sz w:val="22"/>
          <w:szCs w:val="22"/>
        </w:rPr>
        <w:t xml:space="preserve">’adoption de la Stratégie nationale de Réduction de Risques de </w:t>
      </w:r>
      <w:r w:rsidR="008B5B12" w:rsidRPr="00EF7E8E">
        <w:rPr>
          <w:rFonts w:ascii="Times New Roman" w:hAnsi="Times New Roman" w:cs="Times New Roman"/>
          <w:sz w:val="22"/>
          <w:szCs w:val="22"/>
        </w:rPr>
        <w:t>Catastrophe ; (iii) L</w:t>
      </w:r>
      <w:r w:rsidRPr="00EF7E8E">
        <w:rPr>
          <w:rFonts w:ascii="Times New Roman" w:hAnsi="Times New Roman" w:cs="Times New Roman"/>
          <w:sz w:val="22"/>
          <w:szCs w:val="22"/>
        </w:rPr>
        <w:t>’adoption de la Politique Nationale sur les Changements Climatiques et son Plan d’Actions et de la Politique Humanitaire et de Gestion des Catastrophes</w:t>
      </w:r>
      <w:r w:rsidRPr="00EF7E8E">
        <w:rPr>
          <w:rStyle w:val="Appelnotedebasdep"/>
          <w:rFonts w:ascii="Times New Roman" w:hAnsi="Times New Roman" w:cs="Times New Roman"/>
          <w:sz w:val="22"/>
          <w:szCs w:val="22"/>
        </w:rPr>
        <w:footnoteReference w:id="109"/>
      </w:r>
      <w:r w:rsidRPr="00EF7E8E">
        <w:rPr>
          <w:rFonts w:ascii="Times New Roman" w:hAnsi="Times New Roman" w:cs="Times New Roman"/>
          <w:sz w:val="22"/>
          <w:szCs w:val="22"/>
        </w:rPr>
        <w:t xml:space="preserve"> étendue aux communes (PD</w:t>
      </w:r>
      <w:r w:rsidR="008B5B12" w:rsidRPr="00EF7E8E">
        <w:rPr>
          <w:rFonts w:ascii="Times New Roman" w:hAnsi="Times New Roman" w:cs="Times New Roman"/>
          <w:sz w:val="22"/>
          <w:szCs w:val="22"/>
        </w:rPr>
        <w:t>C) et aux régions (PDR) ; (iv) L</w:t>
      </w:r>
      <w:r w:rsidRPr="00EF7E8E">
        <w:rPr>
          <w:rFonts w:ascii="Times New Roman" w:hAnsi="Times New Roman" w:cs="Times New Roman"/>
          <w:sz w:val="22"/>
          <w:szCs w:val="22"/>
        </w:rPr>
        <w:t xml:space="preserve">a stratégie nationale de développement urbain adopté en 2004 (amélioration du cadre de vie des populations urbaines et de l’accès aux </w:t>
      </w:r>
      <w:r w:rsidR="008B5B12" w:rsidRPr="00EF7E8E">
        <w:rPr>
          <w:rFonts w:ascii="Times New Roman" w:hAnsi="Times New Roman" w:cs="Times New Roman"/>
          <w:sz w:val="22"/>
          <w:szCs w:val="22"/>
        </w:rPr>
        <w:t>services sociaux de bas) ; (v) L</w:t>
      </w:r>
      <w:r w:rsidRPr="00EF7E8E">
        <w:rPr>
          <w:rFonts w:ascii="Times New Roman" w:hAnsi="Times New Roman" w:cs="Times New Roman"/>
          <w:sz w:val="22"/>
          <w:szCs w:val="22"/>
        </w:rPr>
        <w:t>a souscription à une assurance auprès de la Mutuelle Panafricaine de Risques dans le cadre du transfert des risques en vue de la couverture globale du pays (Mutuelle panafricaine de gestion de risques dénommée Africa Risk Capacity  - ARC)</w:t>
      </w:r>
      <w:r w:rsidRPr="00EF7E8E">
        <w:rPr>
          <w:rStyle w:val="Appelnotedebasdep"/>
          <w:rFonts w:ascii="Times New Roman" w:hAnsi="Times New Roman" w:cs="Times New Roman"/>
          <w:sz w:val="22"/>
          <w:szCs w:val="22"/>
        </w:rPr>
        <w:footnoteReference w:id="110"/>
      </w:r>
      <w:r w:rsidRPr="00EF7E8E">
        <w:rPr>
          <w:rFonts w:ascii="Times New Roman" w:hAnsi="Times New Roman" w:cs="Times New Roman"/>
          <w:sz w:val="22"/>
          <w:szCs w:val="22"/>
        </w:rPr>
        <w:t>.</w:t>
      </w:r>
    </w:p>
    <w:p w14:paraId="2023F8CC" w14:textId="77777777" w:rsidR="0028280C" w:rsidRPr="0068329F" w:rsidRDefault="0028280C" w:rsidP="0028280C">
      <w:pPr>
        <w:pStyle w:val="Corpsdetexte3"/>
        <w:overflowPunct w:val="0"/>
        <w:autoSpaceDE w:val="0"/>
        <w:autoSpaceDN w:val="0"/>
        <w:adjustRightInd w:val="0"/>
        <w:spacing w:before="80" w:after="80" w:line="240" w:lineRule="auto"/>
        <w:jc w:val="both"/>
        <w:textAlignment w:val="baseline"/>
        <w:rPr>
          <w:rFonts w:ascii="Times New Roman" w:hAnsi="Times New Roman" w:cs="Times New Roman"/>
          <w:sz w:val="22"/>
          <w:szCs w:val="22"/>
        </w:rPr>
      </w:pPr>
      <w:r w:rsidRPr="00C56D46">
        <w:rPr>
          <w:rFonts w:ascii="Times New Roman" w:hAnsi="Times New Roman" w:cs="Times New Roman"/>
          <w:b/>
          <w:i/>
          <w:sz w:val="22"/>
          <w:szCs w:val="22"/>
        </w:rPr>
        <w:t>ODD 11</w:t>
      </w:r>
      <w:r>
        <w:rPr>
          <w:rFonts w:ascii="Times New Roman" w:hAnsi="Times New Roman" w:cs="Times New Roman"/>
          <w:b/>
          <w:i/>
          <w:sz w:val="22"/>
          <w:szCs w:val="22"/>
        </w:rPr>
        <w:t xml:space="preserve"> : </w:t>
      </w:r>
      <w:r>
        <w:rPr>
          <w:rFonts w:ascii="Times New Roman" w:hAnsi="Times New Roman" w:cs="Times New Roman"/>
          <w:sz w:val="22"/>
          <w:szCs w:val="22"/>
        </w:rPr>
        <w:t>Pour l</w:t>
      </w:r>
      <w:r w:rsidRPr="0068329F">
        <w:rPr>
          <w:rFonts w:ascii="Times New Roman" w:hAnsi="Times New Roman" w:cs="Times New Roman"/>
          <w:sz w:val="22"/>
          <w:szCs w:val="22"/>
        </w:rPr>
        <w:t>a</w:t>
      </w:r>
      <w:r w:rsidRPr="0068329F">
        <w:rPr>
          <w:rFonts w:ascii="Times New Roman" w:hAnsi="Times New Roman" w:cs="Times New Roman"/>
          <w:b/>
          <w:i/>
          <w:sz w:val="22"/>
          <w:szCs w:val="22"/>
        </w:rPr>
        <w:t xml:space="preserve"> proportion de l’assistance financière allouée aux pays les moins avancés qui est consacrée à la construction de bâtiments durables, résilients et économes en ressources et à la remise à niveau d’anciens bâtiments, en utilisant des matériaux locaux (cible 11.c</w:t>
      </w:r>
      <w:r w:rsidRPr="0068329F">
        <w:rPr>
          <w:rFonts w:ascii="Times New Roman" w:hAnsi="Times New Roman" w:cs="Times New Roman"/>
          <w:sz w:val="22"/>
          <w:szCs w:val="22"/>
        </w:rPr>
        <w:t>)</w:t>
      </w:r>
      <w:r w:rsidRPr="0068329F">
        <w:rPr>
          <w:rStyle w:val="Appelnotedebasdep"/>
          <w:rFonts w:ascii="Times New Roman" w:hAnsi="Times New Roman" w:cs="Times New Roman"/>
          <w:sz w:val="22"/>
          <w:szCs w:val="22"/>
        </w:rPr>
        <w:footnoteReference w:id="111"/>
      </w:r>
      <w:r>
        <w:rPr>
          <w:rFonts w:ascii="Times New Roman" w:hAnsi="Times New Roman" w:cs="Times New Roman"/>
          <w:sz w:val="22"/>
          <w:szCs w:val="22"/>
        </w:rPr>
        <w:t>, i</w:t>
      </w:r>
      <w:r w:rsidRPr="0068329F">
        <w:rPr>
          <w:rFonts w:ascii="Times New Roman" w:hAnsi="Times New Roman" w:cs="Times New Roman"/>
          <w:sz w:val="22"/>
          <w:szCs w:val="22"/>
        </w:rPr>
        <w:t xml:space="preserve">l ressort qu’aucune donnée n’est disponible pour apprécier </w:t>
      </w:r>
      <w:r>
        <w:rPr>
          <w:rFonts w:ascii="Times New Roman" w:hAnsi="Times New Roman" w:cs="Times New Roman"/>
          <w:sz w:val="22"/>
          <w:szCs w:val="22"/>
        </w:rPr>
        <w:t xml:space="preserve">les progrès </w:t>
      </w:r>
      <w:r w:rsidRPr="0068329F">
        <w:rPr>
          <w:rFonts w:ascii="Times New Roman" w:hAnsi="Times New Roman" w:cs="Times New Roman"/>
          <w:sz w:val="22"/>
          <w:szCs w:val="22"/>
        </w:rPr>
        <w:t>dans le domai</w:t>
      </w:r>
      <w:r>
        <w:rPr>
          <w:rFonts w:ascii="Times New Roman" w:hAnsi="Times New Roman" w:cs="Times New Roman"/>
          <w:sz w:val="22"/>
          <w:szCs w:val="22"/>
        </w:rPr>
        <w:t>ne.</w:t>
      </w:r>
    </w:p>
    <w:p w14:paraId="1F0C79C3" w14:textId="77777777" w:rsidR="0028280C" w:rsidRPr="00E25B1F" w:rsidRDefault="0028280C" w:rsidP="00E25B1F">
      <w:pPr>
        <w:pStyle w:val="Titre1"/>
        <w:rPr>
          <w:rFonts w:ascii="Bernard MT Condensed" w:hAnsi="Bernard MT Condensed"/>
          <w:sz w:val="28"/>
          <w:szCs w:val="28"/>
        </w:rPr>
      </w:pPr>
      <w:bookmarkStart w:id="342" w:name="_Toc84789688"/>
      <w:bookmarkStart w:id="343" w:name="_Toc86687755"/>
      <w:bookmarkStart w:id="344" w:name="_Toc89479437"/>
      <w:bookmarkStart w:id="345" w:name="_Toc89480935"/>
      <w:bookmarkStart w:id="346" w:name="_Toc94480177"/>
      <w:bookmarkStart w:id="347" w:name="_Toc94481838"/>
      <w:bookmarkStart w:id="348" w:name="_Toc94482101"/>
      <w:r w:rsidRPr="00E25B1F">
        <w:rPr>
          <w:rFonts w:ascii="Bernard MT Condensed" w:hAnsi="Bernard MT Condensed"/>
          <w:sz w:val="28"/>
          <w:szCs w:val="28"/>
        </w:rPr>
        <w:t>IV - Mécanismes de financement du développement</w:t>
      </w:r>
      <w:bookmarkEnd w:id="342"/>
      <w:bookmarkEnd w:id="343"/>
      <w:bookmarkEnd w:id="344"/>
      <w:bookmarkEnd w:id="345"/>
      <w:bookmarkEnd w:id="346"/>
      <w:bookmarkEnd w:id="347"/>
      <w:bookmarkEnd w:id="348"/>
    </w:p>
    <w:p w14:paraId="3CA7E48A" w14:textId="77777777" w:rsidR="0028280C" w:rsidRPr="00944577" w:rsidRDefault="0028280C" w:rsidP="0028280C">
      <w:pPr>
        <w:pStyle w:val="Titre2"/>
        <w:rPr>
          <w:rFonts w:ascii="Bernard MT Condensed" w:hAnsi="Bernard MT Condensed"/>
          <w:sz w:val="18"/>
          <w:szCs w:val="18"/>
        </w:rPr>
      </w:pPr>
      <w:bookmarkStart w:id="349" w:name="_Toc84789689"/>
    </w:p>
    <w:p w14:paraId="0FF74C8A" w14:textId="77777777" w:rsidR="0028280C" w:rsidRPr="00E25B1F" w:rsidRDefault="0028280C" w:rsidP="00E25B1F">
      <w:pPr>
        <w:pStyle w:val="Titre2"/>
        <w:rPr>
          <w:rFonts w:ascii="Bernard MT Condensed" w:hAnsi="Bernard MT Condensed"/>
          <w:sz w:val="24"/>
          <w:szCs w:val="24"/>
        </w:rPr>
      </w:pPr>
      <w:bookmarkStart w:id="350" w:name="_Toc86687756"/>
      <w:bookmarkStart w:id="351" w:name="_Toc89479438"/>
      <w:bookmarkStart w:id="352" w:name="_Toc89480936"/>
      <w:bookmarkStart w:id="353" w:name="_Toc94480178"/>
      <w:bookmarkStart w:id="354" w:name="_Toc94481839"/>
      <w:bookmarkStart w:id="355" w:name="_Toc94482102"/>
      <w:r w:rsidRPr="00E25B1F">
        <w:rPr>
          <w:rFonts w:ascii="Bernard MT Condensed" w:hAnsi="Bernard MT Condensed"/>
          <w:sz w:val="24"/>
          <w:szCs w:val="24"/>
        </w:rPr>
        <w:t>IV.1 - Financement intérieur</w:t>
      </w:r>
      <w:bookmarkEnd w:id="349"/>
      <w:bookmarkEnd w:id="350"/>
      <w:bookmarkEnd w:id="351"/>
      <w:bookmarkEnd w:id="352"/>
      <w:bookmarkEnd w:id="353"/>
      <w:bookmarkEnd w:id="354"/>
      <w:bookmarkEnd w:id="355"/>
    </w:p>
    <w:p w14:paraId="1D400BC6" w14:textId="22076911" w:rsidR="0028280C" w:rsidRDefault="0028280C" w:rsidP="0028280C">
      <w:pPr>
        <w:widowControl w:val="0"/>
        <w:spacing w:after="0" w:line="240" w:lineRule="auto"/>
        <w:jc w:val="both"/>
        <w:rPr>
          <w:rFonts w:ascii="Times New Roman" w:hAnsi="Times New Roman" w:cs="Times New Roman"/>
        </w:rPr>
      </w:pPr>
      <w:r w:rsidRPr="00DF6CCF">
        <w:rPr>
          <w:rFonts w:ascii="Times New Roman" w:hAnsi="Times New Roman" w:cs="Times New Roman"/>
        </w:rPr>
        <w:t xml:space="preserve">Le Niger a de faibles capacités de mobilisation des ressources nationales, exacerbées par la situation sécuritaire </w:t>
      </w:r>
      <w:r w:rsidR="008B5B12">
        <w:rPr>
          <w:rFonts w:ascii="Times New Roman" w:hAnsi="Times New Roman" w:cs="Times New Roman"/>
        </w:rPr>
        <w:t>qui a</w:t>
      </w:r>
      <w:r w:rsidRPr="00DF6CCF">
        <w:rPr>
          <w:rFonts w:ascii="Times New Roman" w:hAnsi="Times New Roman" w:cs="Times New Roman"/>
        </w:rPr>
        <w:t xml:space="preserve"> un impact négatif sur l'investissement. </w:t>
      </w:r>
      <w:r w:rsidRPr="002F7EC7">
        <w:rPr>
          <w:rFonts w:ascii="Times New Roman" w:hAnsi="Times New Roman" w:cs="Times New Roman"/>
        </w:rPr>
        <w:t xml:space="preserve">Le Niger a enregistré un taux de pression fiscale de 9,6% (INS) en 2020 largement en dessous du critère de convergence défini dans la zone UEMOA (20%). Sur les cinq (5) dernières années, ce taux de pression vacille autour de 10%, témoignant des faibles performances de l’Etat dans </w:t>
      </w:r>
      <w:r w:rsidR="008B5B12">
        <w:rPr>
          <w:rFonts w:ascii="Times New Roman" w:hAnsi="Times New Roman" w:cs="Times New Roman"/>
        </w:rPr>
        <w:t xml:space="preserve">la </w:t>
      </w:r>
      <w:r w:rsidRPr="002F7EC7">
        <w:rPr>
          <w:rFonts w:ascii="Times New Roman" w:hAnsi="Times New Roman" w:cs="Times New Roman"/>
        </w:rPr>
        <w:t>mobilisation des ressources internes.</w:t>
      </w:r>
    </w:p>
    <w:p w14:paraId="3D1062E7" w14:textId="77777777" w:rsidR="0028280C" w:rsidRPr="002F7EC7" w:rsidRDefault="0028280C" w:rsidP="0028280C">
      <w:pPr>
        <w:widowControl w:val="0"/>
        <w:spacing w:after="0" w:line="240" w:lineRule="auto"/>
        <w:jc w:val="both"/>
        <w:rPr>
          <w:rFonts w:ascii="Times New Roman" w:hAnsi="Times New Roman" w:cs="Times New Roman"/>
        </w:rPr>
      </w:pPr>
      <w:r w:rsidRPr="002F7EC7">
        <w:rPr>
          <w:rFonts w:ascii="Times New Roman" w:hAnsi="Times New Roman" w:cs="Times New Roman"/>
        </w:rPr>
        <w:t xml:space="preserve">  </w:t>
      </w:r>
    </w:p>
    <w:p w14:paraId="38AF05B2" w14:textId="7388C978" w:rsidR="0028280C" w:rsidRDefault="0028280C" w:rsidP="0028280C">
      <w:pPr>
        <w:widowControl w:val="0"/>
        <w:spacing w:after="0" w:line="240" w:lineRule="auto"/>
        <w:jc w:val="both"/>
        <w:rPr>
          <w:rFonts w:ascii="Times New Roman" w:hAnsi="Times New Roman" w:cs="Times New Roman"/>
        </w:rPr>
      </w:pPr>
      <w:r w:rsidRPr="00DF6CCF">
        <w:rPr>
          <w:rFonts w:ascii="Times New Roman" w:hAnsi="Times New Roman" w:cs="Times New Roman"/>
        </w:rPr>
        <w:t>La structure fiscale du Niger est très régressive.</w:t>
      </w:r>
      <w:r w:rsidRPr="002F7EC7">
        <w:rPr>
          <w:rFonts w:ascii="Times New Roman" w:hAnsi="Times New Roman" w:cs="Times New Roman"/>
        </w:rPr>
        <w:t xml:space="preserve"> Le pays tire une faible part de ses recettes fiscales de l'impôt sur les sociétés (à peine 14% de l'impôt total) tandis que la plus grande part provient de la taxe</w:t>
      </w:r>
      <w:r w:rsidR="008B5B12">
        <w:rPr>
          <w:rFonts w:ascii="Times New Roman" w:hAnsi="Times New Roman" w:cs="Times New Roman"/>
        </w:rPr>
        <w:t xml:space="preserve"> sur la valeur ajoutée (TVA) qui représente</w:t>
      </w:r>
      <w:r w:rsidRPr="002F7EC7">
        <w:rPr>
          <w:rFonts w:ascii="Times New Roman" w:hAnsi="Times New Roman" w:cs="Times New Roman"/>
        </w:rPr>
        <w:t xml:space="preserve"> 43%</w:t>
      </w:r>
      <w:r w:rsidR="008B5B12">
        <w:rPr>
          <w:rFonts w:ascii="Times New Roman" w:hAnsi="Times New Roman" w:cs="Times New Roman"/>
        </w:rPr>
        <w:t xml:space="preserve"> des recettes. La TVA</w:t>
      </w:r>
      <w:r w:rsidRPr="002F7EC7">
        <w:rPr>
          <w:rFonts w:ascii="Times New Roman" w:hAnsi="Times New Roman" w:cs="Times New Roman"/>
        </w:rPr>
        <w:t xml:space="preserve"> frappe plus durement les segments les plus pauvres de la population </w:t>
      </w:r>
      <w:r w:rsidR="008B5B12">
        <w:rPr>
          <w:rFonts w:ascii="Times New Roman" w:hAnsi="Times New Roman" w:cs="Times New Roman"/>
        </w:rPr>
        <w:t>parce</w:t>
      </w:r>
      <w:r w:rsidRPr="002F7EC7">
        <w:rPr>
          <w:rFonts w:ascii="Times New Roman" w:hAnsi="Times New Roman" w:cs="Times New Roman"/>
        </w:rPr>
        <w:t xml:space="preserve"> que ces derniers consacrent une plus grande part de </w:t>
      </w:r>
      <w:r w:rsidR="008B5B12">
        <w:rPr>
          <w:rFonts w:ascii="Times New Roman" w:hAnsi="Times New Roman" w:cs="Times New Roman"/>
        </w:rPr>
        <w:t>leurs revenus à la consommation</w:t>
      </w:r>
      <w:r w:rsidR="00C77A02">
        <w:rPr>
          <w:rStyle w:val="Appelnotedebasdep"/>
          <w:rFonts w:ascii="Times New Roman" w:hAnsi="Times New Roman" w:cs="Times New Roman"/>
        </w:rPr>
        <w:footnoteReference w:id="112"/>
      </w:r>
      <w:r w:rsidRPr="002F7EC7">
        <w:rPr>
          <w:rFonts w:ascii="Times New Roman" w:hAnsi="Times New Roman" w:cs="Times New Roman"/>
        </w:rPr>
        <w:t xml:space="preserve"> D'autres pays africains tirent une part plus importante de leurs recettes fiscal</w:t>
      </w:r>
      <w:r w:rsidR="008B5B12">
        <w:rPr>
          <w:rFonts w:ascii="Times New Roman" w:hAnsi="Times New Roman" w:cs="Times New Roman"/>
        </w:rPr>
        <w:t>es de l'impôt sur les sociétés estimé à</w:t>
      </w:r>
      <w:r w:rsidRPr="002F7EC7">
        <w:rPr>
          <w:rFonts w:ascii="Times New Roman" w:hAnsi="Times New Roman" w:cs="Times New Roman"/>
        </w:rPr>
        <w:t xml:space="preserve"> 19 % en moyenne</w:t>
      </w:r>
      <w:r>
        <w:rPr>
          <w:rStyle w:val="Appelnotedebasdep"/>
          <w:rFonts w:ascii="Times New Roman" w:hAnsi="Times New Roman" w:cs="Times New Roman"/>
        </w:rPr>
        <w:footnoteReference w:id="113"/>
      </w:r>
      <w:r w:rsidR="008B5B12">
        <w:rPr>
          <w:rFonts w:ascii="Times New Roman" w:hAnsi="Times New Roman" w:cs="Times New Roman"/>
        </w:rPr>
        <w:t xml:space="preserve"> des recettes fiscales</w:t>
      </w:r>
      <w:r w:rsidRPr="002F7EC7">
        <w:rPr>
          <w:rFonts w:ascii="Times New Roman" w:hAnsi="Times New Roman" w:cs="Times New Roman"/>
        </w:rPr>
        <w:t>.</w:t>
      </w:r>
      <w:r w:rsidRPr="00DF6CCF">
        <w:rPr>
          <w:rFonts w:ascii="Times New Roman" w:hAnsi="Times New Roman" w:cs="Times New Roman"/>
        </w:rPr>
        <w:t xml:space="preserve"> Le déficit budgétaire du Niger a fortement augmenté en raison de la pandémie de</w:t>
      </w:r>
      <w:r w:rsidR="008B5B12">
        <w:rPr>
          <w:rFonts w:ascii="Times New Roman" w:hAnsi="Times New Roman" w:cs="Times New Roman"/>
        </w:rPr>
        <w:t xml:space="preserve"> la</w:t>
      </w:r>
      <w:r w:rsidRPr="00DF6CCF">
        <w:rPr>
          <w:rFonts w:ascii="Times New Roman" w:hAnsi="Times New Roman" w:cs="Times New Roman"/>
        </w:rPr>
        <w:t xml:space="preserve"> COVID-19.</w:t>
      </w:r>
      <w:r w:rsidRPr="002F7EC7">
        <w:rPr>
          <w:rFonts w:ascii="Times New Roman" w:hAnsi="Times New Roman" w:cs="Times New Roman"/>
        </w:rPr>
        <w:t xml:space="preserve"> Il est passé de -3,5% du PIB en 2019 à -5,7% du PIB en 2020. Il devrait dépasser -4,4% du PIB en 2021</w:t>
      </w:r>
      <w:r>
        <w:rPr>
          <w:rStyle w:val="Appelnotedebasdep"/>
          <w:rFonts w:ascii="Times New Roman" w:hAnsi="Times New Roman" w:cs="Times New Roman"/>
        </w:rPr>
        <w:footnoteReference w:id="114"/>
      </w:r>
      <w:r w:rsidRPr="002F7EC7">
        <w:rPr>
          <w:rFonts w:ascii="Times New Roman" w:hAnsi="Times New Roman" w:cs="Times New Roman"/>
        </w:rPr>
        <w:t>.</w:t>
      </w:r>
      <w:r>
        <w:rPr>
          <w:rFonts w:ascii="Times New Roman" w:hAnsi="Times New Roman" w:cs="Times New Roman"/>
        </w:rPr>
        <w:t xml:space="preserve"> </w:t>
      </w:r>
      <w:r w:rsidRPr="00DF6CCF">
        <w:rPr>
          <w:rFonts w:ascii="Times New Roman" w:hAnsi="Times New Roman" w:cs="Times New Roman"/>
        </w:rPr>
        <w:t>Des mesures sont nécessaires pour aider le Niger à améliorer ses capacités de mobilisation des ressources internes, notamment dans un contexte de forte croissance démographique</w:t>
      </w:r>
      <w:r w:rsidRPr="002F7EC7">
        <w:rPr>
          <w:rFonts w:ascii="Times New Roman" w:hAnsi="Times New Roman" w:cs="Times New Roman"/>
        </w:rPr>
        <w:t xml:space="preserve">. Les recettes fiscales doivent suivre le rythme de croissance démographique qui est </w:t>
      </w:r>
      <w:r w:rsidR="00C77A02">
        <w:rPr>
          <w:rFonts w:ascii="Times New Roman" w:hAnsi="Times New Roman" w:cs="Times New Roman"/>
        </w:rPr>
        <w:t>parmi les plus élevés au monde,</w:t>
      </w:r>
      <w:r w:rsidRPr="002F7EC7">
        <w:rPr>
          <w:rFonts w:ascii="Times New Roman" w:hAnsi="Times New Roman" w:cs="Times New Roman"/>
        </w:rPr>
        <w:t xml:space="preserve"> 3,8 % en 2019 (la population du Niger devrait tripler au c</w:t>
      </w:r>
      <w:r>
        <w:rPr>
          <w:rFonts w:ascii="Times New Roman" w:hAnsi="Times New Roman" w:cs="Times New Roman"/>
        </w:rPr>
        <w:t>ours des 20 prochaines années).</w:t>
      </w:r>
    </w:p>
    <w:p w14:paraId="2D7A45F9" w14:textId="77777777" w:rsidR="0028280C" w:rsidRPr="00BF4CDD" w:rsidRDefault="0028280C" w:rsidP="0028280C">
      <w:pPr>
        <w:widowControl w:val="0"/>
        <w:spacing w:after="0" w:line="240" w:lineRule="auto"/>
        <w:jc w:val="both"/>
        <w:rPr>
          <w:rFonts w:ascii="Times New Roman" w:hAnsi="Times New Roman" w:cs="Times New Roman"/>
        </w:rPr>
      </w:pPr>
    </w:p>
    <w:p w14:paraId="46DB1FCC" w14:textId="77777777" w:rsidR="0028280C" w:rsidRPr="002F7EC7" w:rsidRDefault="0028280C" w:rsidP="0028280C">
      <w:pPr>
        <w:spacing w:line="276" w:lineRule="auto"/>
        <w:jc w:val="both"/>
        <w:rPr>
          <w:rFonts w:ascii="Times New Roman" w:hAnsi="Times New Roman" w:cs="Times New Roman"/>
          <w:b/>
          <w:bCs/>
        </w:rPr>
      </w:pPr>
      <w:r>
        <w:rPr>
          <w:rFonts w:ascii="Times New Roman" w:hAnsi="Times New Roman" w:cs="Times New Roman"/>
          <w:b/>
          <w:bCs/>
        </w:rPr>
        <w:lastRenderedPageBreak/>
        <w:t>Graphique 1: T</w:t>
      </w:r>
      <w:r w:rsidRPr="002F7EC7">
        <w:rPr>
          <w:rFonts w:ascii="Times New Roman" w:hAnsi="Times New Roman" w:cs="Times New Roman"/>
          <w:b/>
          <w:bCs/>
        </w:rPr>
        <w:t>aux de pression fiscale des différents pays africains</w:t>
      </w:r>
    </w:p>
    <w:p w14:paraId="5F5FB3BE" w14:textId="77777777" w:rsidR="0028280C" w:rsidRPr="00734D62" w:rsidRDefault="0028280C" w:rsidP="0028280C">
      <w:pPr>
        <w:spacing w:line="276" w:lineRule="auto"/>
        <w:jc w:val="both"/>
        <w:rPr>
          <w:rFonts w:cstheme="minorHAnsi"/>
          <w:lang w:val="en-US"/>
        </w:rPr>
      </w:pPr>
      <w:r w:rsidRPr="0029173E">
        <w:rPr>
          <w:rFonts w:cstheme="minorHAnsi"/>
          <w:noProof/>
          <w:lang w:eastAsia="fr-FR"/>
        </w:rPr>
        <w:drawing>
          <wp:inline distT="0" distB="0" distL="0" distR="0" wp14:anchorId="745494B1" wp14:editId="42EBBC52">
            <wp:extent cx="5773615" cy="1691715"/>
            <wp:effectExtent l="0" t="0" r="0" b="3810"/>
            <wp:docPr id="3"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10;&#10;Description automatically generated"/>
                    <pic:cNvPicPr/>
                  </pic:nvPicPr>
                  <pic:blipFill>
                    <a:blip r:embed="rId51">
                      <a:extLst>
                        <a:ext uri="{28A0092B-C50C-407E-A947-70E740481C1C}">
                          <a14:useLocalDpi xmlns:a14="http://schemas.microsoft.com/office/drawing/2010/main" val="0"/>
                        </a:ext>
                      </a:extLst>
                    </a:blip>
                    <a:stretch>
                      <a:fillRect/>
                    </a:stretch>
                  </pic:blipFill>
                  <pic:spPr>
                    <a:xfrm>
                      <a:off x="0" y="0"/>
                      <a:ext cx="5818162" cy="1704768"/>
                    </a:xfrm>
                    <a:prstGeom prst="rect">
                      <a:avLst/>
                    </a:prstGeom>
                  </pic:spPr>
                </pic:pic>
              </a:graphicData>
            </a:graphic>
          </wp:inline>
        </w:drawing>
      </w:r>
    </w:p>
    <w:p w14:paraId="757F69AB" w14:textId="77777777" w:rsidR="0028280C" w:rsidRPr="00B714DF" w:rsidRDefault="0028280C" w:rsidP="0028280C">
      <w:pPr>
        <w:spacing w:line="276" w:lineRule="auto"/>
        <w:jc w:val="both"/>
        <w:rPr>
          <w:rFonts w:ascii="Times New Roman" w:hAnsi="Times New Roman" w:cs="Times New Roman"/>
          <w:b/>
          <w:bCs/>
          <w:sz w:val="20"/>
          <w:szCs w:val="20"/>
        </w:rPr>
      </w:pPr>
      <w:r>
        <w:rPr>
          <w:rFonts w:ascii="Times New Roman" w:hAnsi="Times New Roman" w:cs="Times New Roman"/>
          <w:b/>
          <w:bCs/>
          <w:sz w:val="20"/>
          <w:szCs w:val="20"/>
        </w:rPr>
        <w:t>Source : OCDE 2020</w:t>
      </w:r>
    </w:p>
    <w:p w14:paraId="3405C9AC" w14:textId="77777777" w:rsidR="0028280C" w:rsidRDefault="0028280C" w:rsidP="0028280C">
      <w:pPr>
        <w:pStyle w:val="Titre2"/>
        <w:rPr>
          <w:rFonts w:ascii="Bernard MT Condensed" w:hAnsi="Bernard MT Condensed"/>
          <w:sz w:val="24"/>
          <w:szCs w:val="24"/>
        </w:rPr>
      </w:pPr>
      <w:bookmarkStart w:id="356" w:name="_Toc84789690"/>
    </w:p>
    <w:p w14:paraId="5D168B66" w14:textId="77777777" w:rsidR="0028280C" w:rsidRDefault="0028280C" w:rsidP="0028280C"/>
    <w:p w14:paraId="68B7ACFA" w14:textId="77777777" w:rsidR="00953B61" w:rsidRPr="00C56D46" w:rsidRDefault="00953B61" w:rsidP="0028280C"/>
    <w:p w14:paraId="44EE9F92" w14:textId="77777777" w:rsidR="0028280C" w:rsidRPr="00E25B1F" w:rsidRDefault="0028280C" w:rsidP="00E25B1F">
      <w:pPr>
        <w:pStyle w:val="Titre2"/>
        <w:rPr>
          <w:rFonts w:ascii="Bernard MT Condensed" w:hAnsi="Bernard MT Condensed"/>
        </w:rPr>
      </w:pPr>
      <w:bookmarkStart w:id="357" w:name="_Toc86687757"/>
      <w:bookmarkStart w:id="358" w:name="_Toc89479439"/>
      <w:bookmarkStart w:id="359" w:name="_Toc89480937"/>
      <w:bookmarkStart w:id="360" w:name="_Toc94480179"/>
      <w:bookmarkStart w:id="361" w:name="_Toc94481840"/>
      <w:bookmarkStart w:id="362" w:name="_Toc94482103"/>
      <w:r w:rsidRPr="00E25B1F">
        <w:rPr>
          <w:rFonts w:ascii="Bernard MT Condensed" w:hAnsi="Bernard MT Condensed"/>
        </w:rPr>
        <w:t>IV.2 - Financement extérieur</w:t>
      </w:r>
      <w:bookmarkEnd w:id="356"/>
      <w:bookmarkEnd w:id="357"/>
      <w:bookmarkEnd w:id="358"/>
      <w:bookmarkEnd w:id="359"/>
      <w:bookmarkEnd w:id="360"/>
      <w:bookmarkEnd w:id="361"/>
      <w:bookmarkEnd w:id="362"/>
    </w:p>
    <w:p w14:paraId="116C83E0" w14:textId="77777777" w:rsidR="0028280C" w:rsidRPr="0037783A" w:rsidRDefault="0028280C" w:rsidP="0028280C"/>
    <w:p w14:paraId="0B0BE811" w14:textId="77777777" w:rsidR="0028280C" w:rsidRPr="00E25B1F" w:rsidRDefault="0028280C" w:rsidP="00E25B1F">
      <w:pPr>
        <w:pStyle w:val="Titre3"/>
        <w:rPr>
          <w:rFonts w:ascii="Bernard MT Condensed" w:hAnsi="Bernard MT Condensed"/>
        </w:rPr>
      </w:pPr>
      <w:bookmarkStart w:id="363" w:name="_Toc84789691"/>
      <w:bookmarkStart w:id="364" w:name="_Toc86687758"/>
      <w:bookmarkStart w:id="365" w:name="_Toc89479440"/>
      <w:bookmarkStart w:id="366" w:name="_Toc89480938"/>
      <w:bookmarkStart w:id="367" w:name="_Toc94480180"/>
      <w:bookmarkStart w:id="368" w:name="_Toc94481841"/>
      <w:bookmarkStart w:id="369" w:name="_Toc94482104"/>
      <w:r w:rsidRPr="00E25B1F">
        <w:rPr>
          <w:rFonts w:ascii="Bernard MT Condensed" w:hAnsi="Bernard MT Condensed"/>
        </w:rPr>
        <w:t>IV.2.1 - Aide publique au développement</w:t>
      </w:r>
      <w:bookmarkEnd w:id="363"/>
      <w:bookmarkEnd w:id="364"/>
      <w:bookmarkEnd w:id="365"/>
      <w:bookmarkEnd w:id="366"/>
      <w:bookmarkEnd w:id="367"/>
      <w:bookmarkEnd w:id="368"/>
      <w:bookmarkEnd w:id="369"/>
      <w:r w:rsidRPr="00E25B1F">
        <w:rPr>
          <w:rFonts w:ascii="Bernard MT Condensed" w:hAnsi="Bernard MT Condensed"/>
        </w:rPr>
        <w:t xml:space="preserve"> </w:t>
      </w:r>
    </w:p>
    <w:p w14:paraId="576FE7E8" w14:textId="77E51E8F" w:rsidR="0028280C" w:rsidRPr="00614CA0" w:rsidRDefault="0028280C" w:rsidP="0028280C">
      <w:pPr>
        <w:spacing w:line="276" w:lineRule="auto"/>
        <w:jc w:val="both"/>
        <w:rPr>
          <w:rFonts w:ascii="Times New Roman" w:hAnsi="Times New Roman" w:cs="Times New Roman"/>
        </w:rPr>
      </w:pPr>
      <w:r w:rsidRPr="002F7EC7">
        <w:rPr>
          <w:rFonts w:ascii="Times New Roman" w:hAnsi="Times New Roman" w:cs="Times New Roman"/>
        </w:rPr>
        <w:t>Selon l'OCDE, le Niger est fortement tributaire de l'Aide publique au développement (APD), notamment des institutions multilatérales telles que la Banque mondiale. Les donateurs du Comité d’Assistance au Développement (CAD) fournissent également un financement constant au fil des ans, tandis que les investissements des donateurs non-membres</w:t>
      </w:r>
      <w:r>
        <w:rPr>
          <w:rFonts w:ascii="Times New Roman" w:hAnsi="Times New Roman" w:cs="Times New Roman"/>
        </w:rPr>
        <w:t xml:space="preserve"> du CAD semblent négligeables </w:t>
      </w:r>
      <w:r w:rsidRPr="002F7EC7">
        <w:rPr>
          <w:rFonts w:ascii="Times New Roman" w:hAnsi="Times New Roman" w:cs="Times New Roman"/>
        </w:rPr>
        <w:t xml:space="preserve">bien que </w:t>
      </w:r>
      <w:r>
        <w:rPr>
          <w:rFonts w:ascii="Times New Roman" w:hAnsi="Times New Roman" w:cs="Times New Roman"/>
        </w:rPr>
        <w:t>certaines sources signalent l’augmentation</w:t>
      </w:r>
      <w:r w:rsidRPr="002F7EC7">
        <w:rPr>
          <w:rFonts w:ascii="Times New Roman" w:hAnsi="Times New Roman" w:cs="Times New Roman"/>
        </w:rPr>
        <w:t xml:space="preserve"> de la part de la Chine et d'autres pays.</w:t>
      </w:r>
      <w:r w:rsidRPr="00071B63">
        <w:rPr>
          <w:rFonts w:cstheme="minorHAnsi"/>
        </w:rPr>
        <w:t xml:space="preserve"> </w:t>
      </w:r>
      <w:r w:rsidRPr="00071B63">
        <w:rPr>
          <w:rFonts w:ascii="Times New Roman" w:hAnsi="Times New Roman" w:cs="Times New Roman"/>
        </w:rPr>
        <w:t xml:space="preserve">Le PBF (Peace Building Fund) </w:t>
      </w:r>
      <w:r w:rsidRPr="00071B63">
        <w:rPr>
          <w:rFonts w:ascii="Times New Roman" w:eastAsia="Times New Roman" w:hAnsi="Times New Roman" w:cs="Times New Roman"/>
          <w:sz w:val="21"/>
          <w:szCs w:val="21"/>
        </w:rPr>
        <w:t>a également (depuis 2013) investi plus de 38 millions de dollars au Niger pour des projets nationaux et transfrontaliers, sur la période d'éligibilité 2014-2019, avec 7 des 22 projets prévus, mis en œuvre en 2020</w:t>
      </w:r>
    </w:p>
    <w:p w14:paraId="7B20A2D1" w14:textId="77777777" w:rsidR="0028280C" w:rsidRPr="002F7EC7" w:rsidRDefault="0028280C" w:rsidP="0028280C">
      <w:pPr>
        <w:spacing w:line="276" w:lineRule="auto"/>
        <w:jc w:val="both"/>
        <w:rPr>
          <w:rFonts w:ascii="Times New Roman" w:hAnsi="Times New Roman" w:cs="Times New Roman"/>
          <w:b/>
        </w:rPr>
      </w:pPr>
      <w:r w:rsidRPr="002F7EC7">
        <w:rPr>
          <w:rFonts w:ascii="Times New Roman" w:hAnsi="Times New Roman" w:cs="Times New Roman"/>
          <w:b/>
        </w:rPr>
        <w:t>Graphique 2: Aide publique au Niger par groupe de donateurs (2002-2019)</w:t>
      </w:r>
    </w:p>
    <w:p w14:paraId="2E132F94" w14:textId="77777777" w:rsidR="0028280C" w:rsidRPr="00734D62" w:rsidRDefault="0028280C" w:rsidP="0028280C">
      <w:pPr>
        <w:spacing w:line="276" w:lineRule="auto"/>
        <w:jc w:val="both"/>
        <w:rPr>
          <w:rFonts w:cstheme="minorHAnsi"/>
          <w:lang w:val="en-US"/>
        </w:rPr>
      </w:pPr>
      <w:r w:rsidRPr="0029173E">
        <w:rPr>
          <w:rFonts w:cstheme="minorHAnsi"/>
          <w:noProof/>
          <w:lang w:eastAsia="fr-FR"/>
        </w:rPr>
        <w:drawing>
          <wp:inline distT="0" distB="0" distL="0" distR="0" wp14:anchorId="0B147CB7" wp14:editId="31DF4851">
            <wp:extent cx="5691554" cy="1775614"/>
            <wp:effectExtent l="0" t="0" r="444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738899" cy="1790384"/>
                    </a:xfrm>
                    <a:prstGeom prst="rect">
                      <a:avLst/>
                    </a:prstGeom>
                  </pic:spPr>
                </pic:pic>
              </a:graphicData>
            </a:graphic>
          </wp:inline>
        </w:drawing>
      </w:r>
    </w:p>
    <w:p w14:paraId="3114F9CA" w14:textId="77777777" w:rsidR="0028280C" w:rsidRPr="00614CA0" w:rsidRDefault="0028280C" w:rsidP="0028280C">
      <w:pPr>
        <w:spacing w:line="276" w:lineRule="auto"/>
        <w:jc w:val="both"/>
        <w:rPr>
          <w:rFonts w:ascii="Times New Roman" w:hAnsi="Times New Roman" w:cs="Times New Roman"/>
          <w:b/>
          <w:bCs/>
          <w:sz w:val="20"/>
          <w:szCs w:val="20"/>
        </w:rPr>
      </w:pPr>
      <w:r w:rsidRPr="00614CA0">
        <w:rPr>
          <w:rFonts w:ascii="Times New Roman" w:hAnsi="Times New Roman" w:cs="Times New Roman"/>
          <w:b/>
          <w:bCs/>
          <w:sz w:val="20"/>
          <w:szCs w:val="20"/>
        </w:rPr>
        <w:t>Source : OCDE 2020</w:t>
      </w:r>
    </w:p>
    <w:p w14:paraId="0CBF76A1" w14:textId="4BD96AEC" w:rsidR="0028280C" w:rsidRPr="00B714DF" w:rsidRDefault="0028280C" w:rsidP="0028280C">
      <w:pPr>
        <w:shd w:val="clear" w:color="auto" w:fill="FFFFFF"/>
        <w:jc w:val="both"/>
        <w:rPr>
          <w:rFonts w:ascii="Times New Roman" w:eastAsia="Times New Roman" w:hAnsi="Times New Roman" w:cs="Times New Roman"/>
          <w:sz w:val="21"/>
          <w:szCs w:val="21"/>
        </w:rPr>
      </w:pPr>
      <w:r w:rsidRPr="00614CA0">
        <w:rPr>
          <w:rFonts w:ascii="Times New Roman" w:hAnsi="Times New Roman" w:cs="Times New Roman"/>
        </w:rPr>
        <w:t xml:space="preserve">Les financements reçus par le Niger sont </w:t>
      </w:r>
      <w:r w:rsidR="00C77A02">
        <w:rPr>
          <w:rFonts w:ascii="Times New Roman" w:hAnsi="Times New Roman" w:cs="Times New Roman"/>
        </w:rPr>
        <w:t>prioritairement</w:t>
      </w:r>
      <w:r w:rsidRPr="00614CA0">
        <w:rPr>
          <w:rFonts w:ascii="Times New Roman" w:hAnsi="Times New Roman" w:cs="Times New Roman"/>
        </w:rPr>
        <w:t xml:space="preserve"> affectés au développement.</w:t>
      </w:r>
    </w:p>
    <w:p w14:paraId="2836B377" w14:textId="77777777" w:rsidR="0028280C" w:rsidRDefault="0028280C" w:rsidP="0028280C">
      <w:pPr>
        <w:shd w:val="clear" w:color="auto" w:fill="FFFFFF"/>
        <w:jc w:val="both"/>
        <w:rPr>
          <w:rFonts w:ascii="Times New Roman" w:eastAsia="Times New Roman" w:hAnsi="Times New Roman" w:cs="Times New Roman"/>
          <w:b/>
          <w:sz w:val="21"/>
          <w:szCs w:val="21"/>
        </w:rPr>
      </w:pPr>
    </w:p>
    <w:p w14:paraId="558F9FD1" w14:textId="77777777" w:rsidR="0028280C" w:rsidRPr="00614CA0" w:rsidRDefault="0028280C" w:rsidP="0028280C">
      <w:pPr>
        <w:shd w:val="clear" w:color="auto" w:fill="FFFFFF"/>
        <w:jc w:val="both"/>
        <w:rPr>
          <w:rFonts w:ascii="Times New Roman" w:eastAsia="Times New Roman" w:hAnsi="Times New Roman" w:cs="Times New Roman"/>
          <w:b/>
          <w:sz w:val="21"/>
          <w:szCs w:val="21"/>
        </w:rPr>
      </w:pPr>
      <w:r w:rsidRPr="00614CA0">
        <w:rPr>
          <w:rFonts w:ascii="Times New Roman" w:eastAsia="Times New Roman" w:hAnsi="Times New Roman" w:cs="Times New Roman"/>
          <w:b/>
          <w:sz w:val="21"/>
          <w:szCs w:val="21"/>
        </w:rPr>
        <w:t>Graphique 3: Fonds investis dans le Nexus Humanitaire-Développement-Paix</w:t>
      </w:r>
    </w:p>
    <w:p w14:paraId="01F2E8A0" w14:textId="77777777" w:rsidR="0028280C" w:rsidRPr="00734D62" w:rsidRDefault="0028280C" w:rsidP="0028280C">
      <w:pPr>
        <w:spacing w:line="276" w:lineRule="auto"/>
        <w:jc w:val="both"/>
        <w:rPr>
          <w:rFonts w:cstheme="minorHAnsi"/>
          <w:lang w:val="en-US"/>
        </w:rPr>
      </w:pPr>
      <w:r w:rsidRPr="0029173E">
        <w:rPr>
          <w:rFonts w:cstheme="minorHAnsi"/>
          <w:noProof/>
          <w:lang w:eastAsia="fr-FR"/>
        </w:rPr>
        <w:lastRenderedPageBreak/>
        <w:drawing>
          <wp:inline distT="0" distB="0" distL="0" distR="0" wp14:anchorId="45A99489" wp14:editId="4F67DECA">
            <wp:extent cx="5715000" cy="1805737"/>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756014" cy="1818696"/>
                    </a:xfrm>
                    <a:prstGeom prst="rect">
                      <a:avLst/>
                    </a:prstGeom>
                  </pic:spPr>
                </pic:pic>
              </a:graphicData>
            </a:graphic>
          </wp:inline>
        </w:drawing>
      </w:r>
    </w:p>
    <w:p w14:paraId="5ED2F17A" w14:textId="77777777" w:rsidR="0028280C" w:rsidRPr="00734D62" w:rsidRDefault="0028280C" w:rsidP="0028280C">
      <w:pPr>
        <w:spacing w:line="276" w:lineRule="auto"/>
        <w:jc w:val="both"/>
        <w:rPr>
          <w:rFonts w:cstheme="minorHAnsi"/>
          <w:lang w:val="en-US"/>
        </w:rPr>
      </w:pPr>
      <w:r w:rsidRPr="0029173E">
        <w:rPr>
          <w:rFonts w:cstheme="minorHAnsi"/>
          <w:noProof/>
          <w:lang w:eastAsia="fr-FR"/>
        </w:rPr>
        <w:drawing>
          <wp:inline distT="0" distB="0" distL="0" distR="0" wp14:anchorId="3B97DD65" wp14:editId="5A1DD51C">
            <wp:extent cx="5715000" cy="1765821"/>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746435" cy="1775534"/>
                    </a:xfrm>
                    <a:prstGeom prst="rect">
                      <a:avLst/>
                    </a:prstGeom>
                  </pic:spPr>
                </pic:pic>
              </a:graphicData>
            </a:graphic>
          </wp:inline>
        </w:drawing>
      </w:r>
    </w:p>
    <w:p w14:paraId="5D86CDBB" w14:textId="77777777" w:rsidR="0028280C" w:rsidRPr="00614CA0" w:rsidRDefault="0028280C" w:rsidP="0028280C">
      <w:pPr>
        <w:spacing w:line="276" w:lineRule="auto"/>
        <w:jc w:val="both"/>
        <w:rPr>
          <w:rFonts w:ascii="Times New Roman" w:hAnsi="Times New Roman" w:cs="Times New Roman"/>
          <w:b/>
          <w:bCs/>
          <w:sz w:val="20"/>
          <w:szCs w:val="20"/>
        </w:rPr>
      </w:pPr>
      <w:r w:rsidRPr="00614CA0">
        <w:rPr>
          <w:rFonts w:ascii="Times New Roman" w:hAnsi="Times New Roman" w:cs="Times New Roman"/>
          <w:b/>
          <w:bCs/>
          <w:sz w:val="20"/>
          <w:szCs w:val="20"/>
        </w:rPr>
        <w:t>Source : OCDE 2020</w:t>
      </w:r>
    </w:p>
    <w:p w14:paraId="6EE7CABB" w14:textId="77777777" w:rsidR="00C77A02" w:rsidRDefault="00C77A02" w:rsidP="0028280C">
      <w:pPr>
        <w:spacing w:line="276" w:lineRule="auto"/>
        <w:jc w:val="both"/>
        <w:rPr>
          <w:rFonts w:ascii="Times New Roman" w:hAnsi="Times New Roman" w:cs="Times New Roman"/>
        </w:rPr>
      </w:pPr>
    </w:p>
    <w:p w14:paraId="178F6BCF" w14:textId="4D595075" w:rsidR="0028280C" w:rsidRPr="005B5009" w:rsidRDefault="0028280C" w:rsidP="0028280C">
      <w:pPr>
        <w:spacing w:line="276" w:lineRule="auto"/>
        <w:jc w:val="both"/>
        <w:rPr>
          <w:rFonts w:ascii="Times New Roman" w:hAnsi="Times New Roman" w:cs="Times New Roman"/>
        </w:rPr>
      </w:pPr>
      <w:r w:rsidRPr="00614CA0">
        <w:rPr>
          <w:rFonts w:ascii="Times New Roman" w:hAnsi="Times New Roman" w:cs="Times New Roman"/>
        </w:rPr>
        <w:t xml:space="preserve">L'évolution des financements humanitaires reste également insatisfaisante. Bien que les besoins aient augmenté (se situant autour de 500 millions de dollars en 2020 et 2021), les financements non satisfaits à la mi-2021 laissaient présager une pénurie de ressources, et ce, malgré le fait que le Niger ait bénéficié ces dernières années de l'attention mondiale à travers les Stratégies de stabilisation du Bassin du Lac Tchad et du Liptako-Gourma. Ces deux crises ont également vu la création d'installations régionales de stabilisation qui offrent une méthode nouvelle et unique </w:t>
      </w:r>
      <w:r>
        <w:rPr>
          <w:rFonts w:ascii="Times New Roman" w:hAnsi="Times New Roman" w:cs="Times New Roman"/>
        </w:rPr>
        <w:t>de canalisation des ressources.</w:t>
      </w:r>
    </w:p>
    <w:p w14:paraId="742794C0" w14:textId="77777777" w:rsidR="0028280C" w:rsidRPr="00614CA0" w:rsidRDefault="0028280C" w:rsidP="0028280C">
      <w:pPr>
        <w:spacing w:line="276" w:lineRule="auto"/>
        <w:jc w:val="both"/>
        <w:rPr>
          <w:rFonts w:ascii="Times New Roman" w:hAnsi="Times New Roman" w:cs="Times New Roman"/>
          <w:b/>
        </w:rPr>
      </w:pPr>
      <w:r w:rsidRPr="00614CA0">
        <w:rPr>
          <w:rFonts w:ascii="Times New Roman" w:hAnsi="Times New Roman" w:cs="Times New Roman"/>
          <w:b/>
        </w:rPr>
        <w:t>Graphique 4: les dix(10) meilleurs pourvoyeurs de l’Aide Publique au Développement au Niger (2018-2019; millions de dollars)</w:t>
      </w:r>
    </w:p>
    <w:p w14:paraId="2D827E91" w14:textId="019DEC59" w:rsidR="0028280C" w:rsidRPr="003F609A" w:rsidRDefault="00D64890" w:rsidP="0028280C">
      <w:pPr>
        <w:spacing w:line="276" w:lineRule="auto"/>
        <w:jc w:val="both"/>
        <w:rPr>
          <w:rFonts w:cstheme="minorHAnsi"/>
        </w:rPr>
      </w:pPr>
      <w:r>
        <w:rPr>
          <w:rFonts w:cstheme="minorHAnsi"/>
          <w:noProof/>
          <w:lang w:eastAsia="fr-FR"/>
        </w:rPr>
        <w:t>‘APD</w:t>
      </w:r>
      <w:r w:rsidR="0028280C" w:rsidRPr="0029173E">
        <w:rPr>
          <w:rFonts w:cstheme="minorHAnsi"/>
          <w:noProof/>
          <w:lang w:eastAsia="fr-FR"/>
        </w:rPr>
        <w:drawing>
          <wp:inline distT="0" distB="0" distL="0" distR="0" wp14:anchorId="675E40F9" wp14:editId="65E5B8B5">
            <wp:extent cx="5697415" cy="2209871"/>
            <wp:effectExtent l="0" t="0" r="0" b="0"/>
            <wp:docPr id="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740664" cy="2226646"/>
                    </a:xfrm>
                    <a:prstGeom prst="rect">
                      <a:avLst/>
                    </a:prstGeom>
                  </pic:spPr>
                </pic:pic>
              </a:graphicData>
            </a:graphic>
          </wp:inline>
        </w:drawing>
      </w:r>
    </w:p>
    <w:p w14:paraId="023E3B0D" w14:textId="77777777" w:rsidR="0028280C" w:rsidRPr="00614CA0" w:rsidRDefault="0028280C" w:rsidP="0028280C">
      <w:pPr>
        <w:spacing w:line="276" w:lineRule="auto"/>
        <w:jc w:val="both"/>
        <w:rPr>
          <w:rFonts w:ascii="Times New Roman" w:hAnsi="Times New Roman" w:cs="Times New Roman"/>
          <w:b/>
          <w:bCs/>
          <w:sz w:val="20"/>
          <w:szCs w:val="20"/>
        </w:rPr>
      </w:pPr>
      <w:r w:rsidRPr="00614CA0">
        <w:rPr>
          <w:rFonts w:ascii="Times New Roman" w:hAnsi="Times New Roman" w:cs="Times New Roman"/>
          <w:b/>
          <w:bCs/>
          <w:sz w:val="20"/>
          <w:szCs w:val="20"/>
        </w:rPr>
        <w:t>Source : OCDE 2020</w:t>
      </w:r>
    </w:p>
    <w:p w14:paraId="286C01F2" w14:textId="551E51C6" w:rsidR="0028280C" w:rsidRPr="00614CA0" w:rsidRDefault="0028280C" w:rsidP="0028280C">
      <w:pPr>
        <w:spacing w:line="276" w:lineRule="auto"/>
        <w:jc w:val="both"/>
        <w:rPr>
          <w:rFonts w:ascii="Times New Roman" w:hAnsi="Times New Roman" w:cs="Times New Roman"/>
        </w:rPr>
      </w:pPr>
      <w:r w:rsidRPr="00614CA0">
        <w:rPr>
          <w:rFonts w:ascii="Times New Roman" w:hAnsi="Times New Roman" w:cs="Times New Roman"/>
        </w:rPr>
        <w:lastRenderedPageBreak/>
        <w:t xml:space="preserve">Le plus grand donateur bilatéral </w:t>
      </w:r>
      <w:r w:rsidR="00C77A02">
        <w:rPr>
          <w:rFonts w:ascii="Times New Roman" w:hAnsi="Times New Roman" w:cs="Times New Roman"/>
        </w:rPr>
        <w:t>d</w:t>
      </w:r>
      <w:r w:rsidRPr="00614CA0">
        <w:rPr>
          <w:rFonts w:ascii="Times New Roman" w:hAnsi="Times New Roman" w:cs="Times New Roman"/>
        </w:rPr>
        <w:t>u Niger est l'UE, suivie des États-Unis. Cependant, ce sont les fonds alloués via l'IDA de la Banque mondiale qui constituent la plus grande source de financement pour le Niger, ainsi que le plus grand potentiel de mobilisation de ressources financières extérieures.</w:t>
      </w:r>
    </w:p>
    <w:p w14:paraId="52935870" w14:textId="77777777" w:rsidR="0028280C" w:rsidRPr="00E25B1F" w:rsidRDefault="0028280C" w:rsidP="00E25B1F">
      <w:pPr>
        <w:pStyle w:val="Titre3"/>
        <w:rPr>
          <w:rFonts w:ascii="Bernard MT Condensed" w:hAnsi="Bernard MT Condensed"/>
        </w:rPr>
      </w:pPr>
      <w:bookmarkStart w:id="370" w:name="_Toc84789692"/>
      <w:bookmarkStart w:id="371" w:name="_Toc86687759"/>
      <w:bookmarkStart w:id="372" w:name="_Toc89479441"/>
      <w:bookmarkStart w:id="373" w:name="_Toc89480939"/>
      <w:bookmarkStart w:id="374" w:name="_Toc94480181"/>
      <w:bookmarkStart w:id="375" w:name="_Toc94481842"/>
      <w:bookmarkStart w:id="376" w:name="_Toc94482105"/>
      <w:r w:rsidRPr="00E25B1F">
        <w:rPr>
          <w:rFonts w:ascii="Bernard MT Condensed" w:hAnsi="Bernard MT Condensed"/>
        </w:rPr>
        <w:t>IV.2.2 - Flux de financement privé</w:t>
      </w:r>
      <w:bookmarkEnd w:id="370"/>
      <w:bookmarkEnd w:id="371"/>
      <w:bookmarkEnd w:id="372"/>
      <w:bookmarkEnd w:id="373"/>
      <w:bookmarkEnd w:id="374"/>
      <w:bookmarkEnd w:id="375"/>
      <w:bookmarkEnd w:id="376"/>
    </w:p>
    <w:p w14:paraId="79B4A204" w14:textId="77777777" w:rsidR="0028280C" w:rsidRPr="000842E3" w:rsidRDefault="0028280C" w:rsidP="0028280C">
      <w:pPr>
        <w:spacing w:line="276" w:lineRule="auto"/>
        <w:jc w:val="both"/>
        <w:rPr>
          <w:rFonts w:ascii="Times New Roman" w:hAnsi="Times New Roman" w:cs="Times New Roman"/>
        </w:rPr>
      </w:pPr>
      <w:r w:rsidRPr="000842E3">
        <w:rPr>
          <w:rFonts w:ascii="Times New Roman" w:hAnsi="Times New Roman" w:cs="Times New Roman"/>
          <w:b/>
          <w:bCs/>
        </w:rPr>
        <w:t xml:space="preserve">L'investissement direct étranger (IDE) est le flux financier externe le plus important, mais les entrées d'IDE présentent un degré élevé de volatilité. </w:t>
      </w:r>
      <w:r w:rsidRPr="000842E3">
        <w:rPr>
          <w:rFonts w:ascii="Times New Roman" w:hAnsi="Times New Roman" w:cs="Times New Roman"/>
        </w:rPr>
        <w:t>En 2019, le Niger a attiré 593 millions de dollars US d'entrées d'IDE, tirés principalement par les secteurs extractifs. Cela représente 5,5% du PIB et dépasse la moyenne de l’Afrique subsaharienne</w:t>
      </w:r>
      <w:r w:rsidRPr="000842E3">
        <w:rPr>
          <w:rStyle w:val="Appelnotedebasdep"/>
          <w:rFonts w:ascii="Times New Roman" w:hAnsi="Times New Roman" w:cs="Times New Roman"/>
          <w:lang w:val="en-US"/>
        </w:rPr>
        <w:footnoteReference w:id="115"/>
      </w:r>
      <w:r w:rsidRPr="000842E3">
        <w:rPr>
          <w:rFonts w:ascii="Times New Roman" w:hAnsi="Times New Roman" w:cs="Times New Roman"/>
        </w:rPr>
        <w:t xml:space="preserve"> estimée à 1,8% du PIB pour la même année. Ce chiffre est en baisse par rapport aux 823 millions de dollars US en 2015, mais en hausse par rapport aux 300 millions de dollars US enregistrés pour 2016.</w:t>
      </w:r>
      <w:r w:rsidRPr="000842E3">
        <w:rPr>
          <w:rStyle w:val="Appelnotedebasdep"/>
          <w:rFonts w:ascii="Times New Roman" w:hAnsi="Times New Roman" w:cs="Times New Roman"/>
          <w:lang w:val="en-US"/>
        </w:rPr>
        <w:footnoteReference w:id="116"/>
      </w:r>
    </w:p>
    <w:tbl>
      <w:tblPr>
        <w:tblStyle w:val="TableauGrille4-Accentuation1"/>
        <w:tblW w:w="5000" w:type="pct"/>
        <w:tblLook w:val="04A0" w:firstRow="1" w:lastRow="0" w:firstColumn="1" w:lastColumn="0" w:noHBand="0" w:noVBand="1"/>
      </w:tblPr>
      <w:tblGrid>
        <w:gridCol w:w="749"/>
        <w:gridCol w:w="749"/>
        <w:gridCol w:w="751"/>
        <w:gridCol w:w="751"/>
        <w:gridCol w:w="752"/>
        <w:gridCol w:w="752"/>
        <w:gridCol w:w="752"/>
        <w:gridCol w:w="752"/>
        <w:gridCol w:w="752"/>
        <w:gridCol w:w="752"/>
        <w:gridCol w:w="752"/>
        <w:gridCol w:w="752"/>
      </w:tblGrid>
      <w:tr w:rsidR="0028280C" w:rsidRPr="00734D62" w14:paraId="4A87CC41" w14:textId="77777777" w:rsidTr="00E43F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4" w:type="dxa"/>
            <w:gridSpan w:val="6"/>
          </w:tcPr>
          <w:p w14:paraId="21B871C9" w14:textId="77777777" w:rsidR="0028280C" w:rsidRPr="001308D7" w:rsidRDefault="0028280C" w:rsidP="00E43F48">
            <w:pPr>
              <w:spacing w:line="276" w:lineRule="auto"/>
              <w:jc w:val="center"/>
              <w:rPr>
                <w:rFonts w:cstheme="minorHAnsi"/>
                <w:b w:val="0"/>
                <w:bCs w:val="0"/>
                <w:sz w:val="22"/>
                <w:szCs w:val="22"/>
                <w:lang w:val="fr-FR"/>
              </w:rPr>
            </w:pPr>
            <w:r w:rsidRPr="001308D7">
              <w:rPr>
                <w:rFonts w:cstheme="minorHAnsi"/>
                <w:b w:val="0"/>
                <w:bCs w:val="0"/>
                <w:sz w:val="22"/>
                <w:szCs w:val="22"/>
                <w:lang w:val="fr-FR"/>
              </w:rPr>
              <w:t>Entrées d'IDE en millions de dollars US</w:t>
            </w:r>
          </w:p>
        </w:tc>
        <w:tc>
          <w:tcPr>
            <w:tcW w:w="4506" w:type="dxa"/>
            <w:gridSpan w:val="6"/>
          </w:tcPr>
          <w:p w14:paraId="3BF1E916" w14:textId="77777777" w:rsidR="0028280C" w:rsidRPr="001308D7" w:rsidRDefault="0028280C" w:rsidP="00E43F48">
            <w:pPr>
              <w:spacing w:line="276" w:lineRule="auto"/>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2"/>
                <w:szCs w:val="22"/>
                <w:lang w:val="fr-FR"/>
              </w:rPr>
            </w:pPr>
            <w:r w:rsidRPr="001308D7">
              <w:rPr>
                <w:rFonts w:cstheme="minorHAnsi"/>
                <w:b w:val="0"/>
                <w:bCs w:val="0"/>
                <w:sz w:val="22"/>
                <w:szCs w:val="22"/>
                <w:lang w:val="fr-FR"/>
              </w:rPr>
              <w:t>Sorties d'IDE en millions de dollars US</w:t>
            </w:r>
          </w:p>
        </w:tc>
      </w:tr>
      <w:tr w:rsidR="0028280C" w:rsidRPr="00734D62" w14:paraId="0C75AEA3" w14:textId="77777777" w:rsidTr="00E43F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0" w:type="dxa"/>
          </w:tcPr>
          <w:p w14:paraId="56B3BC98" w14:textId="77777777" w:rsidR="0028280C" w:rsidRPr="00734D62" w:rsidRDefault="0028280C" w:rsidP="00E43F48">
            <w:pPr>
              <w:spacing w:line="276" w:lineRule="auto"/>
              <w:jc w:val="center"/>
              <w:rPr>
                <w:rFonts w:cstheme="minorHAnsi"/>
                <w:sz w:val="22"/>
                <w:szCs w:val="22"/>
                <w:lang w:val="en-US"/>
              </w:rPr>
            </w:pPr>
            <w:r w:rsidRPr="00734D62">
              <w:rPr>
                <w:rFonts w:cstheme="minorHAnsi"/>
                <w:sz w:val="22"/>
                <w:szCs w:val="22"/>
                <w:lang w:val="en-US"/>
              </w:rPr>
              <w:t>2014</w:t>
            </w:r>
          </w:p>
        </w:tc>
        <w:tc>
          <w:tcPr>
            <w:tcW w:w="750" w:type="dxa"/>
          </w:tcPr>
          <w:p w14:paraId="4856EB09" w14:textId="77777777" w:rsidR="0028280C" w:rsidRPr="00734D62" w:rsidRDefault="0028280C" w:rsidP="00E43F4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b/>
                <w:bCs/>
                <w:sz w:val="22"/>
                <w:szCs w:val="22"/>
                <w:lang w:val="en-US"/>
              </w:rPr>
            </w:pPr>
            <w:r w:rsidRPr="00734D62">
              <w:rPr>
                <w:rFonts w:cstheme="minorHAnsi"/>
                <w:b/>
                <w:bCs/>
                <w:sz w:val="22"/>
                <w:szCs w:val="22"/>
                <w:lang w:val="en-US"/>
              </w:rPr>
              <w:t>2015</w:t>
            </w:r>
          </w:p>
        </w:tc>
        <w:tc>
          <w:tcPr>
            <w:tcW w:w="751" w:type="dxa"/>
          </w:tcPr>
          <w:p w14:paraId="49838D9D" w14:textId="77777777" w:rsidR="0028280C" w:rsidRPr="00734D62" w:rsidRDefault="0028280C" w:rsidP="00E43F4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b/>
                <w:bCs/>
                <w:sz w:val="22"/>
                <w:szCs w:val="22"/>
                <w:lang w:val="en-US"/>
              </w:rPr>
            </w:pPr>
            <w:r w:rsidRPr="00734D62">
              <w:rPr>
                <w:rFonts w:cstheme="minorHAnsi"/>
                <w:b/>
                <w:bCs/>
                <w:sz w:val="22"/>
                <w:szCs w:val="22"/>
                <w:lang w:val="en-US"/>
              </w:rPr>
              <w:t>2016</w:t>
            </w:r>
          </w:p>
        </w:tc>
        <w:tc>
          <w:tcPr>
            <w:tcW w:w="751" w:type="dxa"/>
          </w:tcPr>
          <w:p w14:paraId="56DC959A" w14:textId="77777777" w:rsidR="0028280C" w:rsidRPr="00734D62" w:rsidRDefault="0028280C" w:rsidP="00E43F4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b/>
                <w:bCs/>
                <w:sz w:val="22"/>
                <w:szCs w:val="22"/>
                <w:lang w:val="en-US"/>
              </w:rPr>
            </w:pPr>
            <w:r w:rsidRPr="00734D62">
              <w:rPr>
                <w:rFonts w:cstheme="minorHAnsi"/>
                <w:b/>
                <w:bCs/>
                <w:sz w:val="22"/>
                <w:szCs w:val="22"/>
                <w:lang w:val="en-US"/>
              </w:rPr>
              <w:t>2017</w:t>
            </w:r>
          </w:p>
        </w:tc>
        <w:tc>
          <w:tcPr>
            <w:tcW w:w="751" w:type="dxa"/>
          </w:tcPr>
          <w:p w14:paraId="67641F6B" w14:textId="77777777" w:rsidR="0028280C" w:rsidRPr="00734D62" w:rsidRDefault="0028280C" w:rsidP="00E43F4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b/>
                <w:bCs/>
                <w:sz w:val="22"/>
                <w:szCs w:val="22"/>
                <w:lang w:val="en-US"/>
              </w:rPr>
            </w:pPr>
            <w:r w:rsidRPr="00734D62">
              <w:rPr>
                <w:rFonts w:cstheme="minorHAnsi"/>
                <w:b/>
                <w:bCs/>
                <w:sz w:val="22"/>
                <w:szCs w:val="22"/>
                <w:lang w:val="en-US"/>
              </w:rPr>
              <w:t>2018</w:t>
            </w:r>
          </w:p>
        </w:tc>
        <w:tc>
          <w:tcPr>
            <w:tcW w:w="751" w:type="dxa"/>
          </w:tcPr>
          <w:p w14:paraId="071629FC" w14:textId="77777777" w:rsidR="0028280C" w:rsidRPr="00734D62" w:rsidRDefault="0028280C" w:rsidP="00E43F4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b/>
                <w:bCs/>
                <w:sz w:val="22"/>
                <w:szCs w:val="22"/>
                <w:lang w:val="en-US"/>
              </w:rPr>
            </w:pPr>
            <w:r w:rsidRPr="00734D62">
              <w:rPr>
                <w:rFonts w:cstheme="minorHAnsi"/>
                <w:b/>
                <w:bCs/>
                <w:sz w:val="22"/>
                <w:szCs w:val="22"/>
                <w:lang w:val="en-US"/>
              </w:rPr>
              <w:t>2019</w:t>
            </w:r>
          </w:p>
        </w:tc>
        <w:tc>
          <w:tcPr>
            <w:tcW w:w="751" w:type="dxa"/>
          </w:tcPr>
          <w:p w14:paraId="7855616A" w14:textId="77777777" w:rsidR="0028280C" w:rsidRPr="00734D62" w:rsidRDefault="0028280C" w:rsidP="00E43F4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b/>
                <w:bCs/>
                <w:sz w:val="22"/>
                <w:szCs w:val="22"/>
                <w:lang w:val="en-US"/>
              </w:rPr>
            </w:pPr>
            <w:r w:rsidRPr="00734D62">
              <w:rPr>
                <w:rFonts w:cstheme="minorHAnsi"/>
                <w:b/>
                <w:bCs/>
                <w:sz w:val="22"/>
                <w:szCs w:val="22"/>
                <w:lang w:val="en-US"/>
              </w:rPr>
              <w:t>2014</w:t>
            </w:r>
          </w:p>
        </w:tc>
        <w:tc>
          <w:tcPr>
            <w:tcW w:w="751" w:type="dxa"/>
          </w:tcPr>
          <w:p w14:paraId="7E871A89" w14:textId="77777777" w:rsidR="0028280C" w:rsidRPr="00734D62" w:rsidRDefault="0028280C" w:rsidP="00E43F4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b/>
                <w:bCs/>
                <w:sz w:val="22"/>
                <w:szCs w:val="22"/>
                <w:lang w:val="en-US"/>
              </w:rPr>
            </w:pPr>
            <w:r w:rsidRPr="00734D62">
              <w:rPr>
                <w:rFonts w:cstheme="minorHAnsi"/>
                <w:b/>
                <w:bCs/>
                <w:sz w:val="22"/>
                <w:szCs w:val="22"/>
                <w:lang w:val="en-US"/>
              </w:rPr>
              <w:t>2015</w:t>
            </w:r>
          </w:p>
        </w:tc>
        <w:tc>
          <w:tcPr>
            <w:tcW w:w="751" w:type="dxa"/>
          </w:tcPr>
          <w:p w14:paraId="201203DD" w14:textId="77777777" w:rsidR="0028280C" w:rsidRPr="00734D62" w:rsidRDefault="0028280C" w:rsidP="00E43F4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b/>
                <w:bCs/>
                <w:sz w:val="22"/>
                <w:szCs w:val="22"/>
                <w:lang w:val="en-US"/>
              </w:rPr>
            </w:pPr>
            <w:r w:rsidRPr="00734D62">
              <w:rPr>
                <w:rFonts w:cstheme="minorHAnsi"/>
                <w:b/>
                <w:bCs/>
                <w:sz w:val="22"/>
                <w:szCs w:val="22"/>
                <w:lang w:val="en-US"/>
              </w:rPr>
              <w:t>2016</w:t>
            </w:r>
          </w:p>
        </w:tc>
        <w:tc>
          <w:tcPr>
            <w:tcW w:w="751" w:type="dxa"/>
          </w:tcPr>
          <w:p w14:paraId="6E2B0621" w14:textId="77777777" w:rsidR="0028280C" w:rsidRPr="00734D62" w:rsidRDefault="0028280C" w:rsidP="00E43F4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b/>
                <w:bCs/>
                <w:sz w:val="22"/>
                <w:szCs w:val="22"/>
                <w:lang w:val="en-US"/>
              </w:rPr>
            </w:pPr>
            <w:r w:rsidRPr="00734D62">
              <w:rPr>
                <w:rFonts w:cstheme="minorHAnsi"/>
                <w:b/>
                <w:bCs/>
                <w:sz w:val="22"/>
                <w:szCs w:val="22"/>
                <w:lang w:val="en-US"/>
              </w:rPr>
              <w:t>2017</w:t>
            </w:r>
          </w:p>
        </w:tc>
        <w:tc>
          <w:tcPr>
            <w:tcW w:w="751" w:type="dxa"/>
          </w:tcPr>
          <w:p w14:paraId="03971FD2" w14:textId="77777777" w:rsidR="0028280C" w:rsidRPr="00734D62" w:rsidRDefault="0028280C" w:rsidP="00E43F4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b/>
                <w:bCs/>
                <w:sz w:val="22"/>
                <w:szCs w:val="22"/>
                <w:lang w:val="en-US"/>
              </w:rPr>
            </w:pPr>
            <w:r w:rsidRPr="00734D62">
              <w:rPr>
                <w:rFonts w:cstheme="minorHAnsi"/>
                <w:b/>
                <w:bCs/>
                <w:sz w:val="22"/>
                <w:szCs w:val="22"/>
                <w:lang w:val="en-US"/>
              </w:rPr>
              <w:t>2018</w:t>
            </w:r>
          </w:p>
        </w:tc>
        <w:tc>
          <w:tcPr>
            <w:tcW w:w="751" w:type="dxa"/>
          </w:tcPr>
          <w:p w14:paraId="57AC6A45" w14:textId="77777777" w:rsidR="0028280C" w:rsidRPr="00734D62" w:rsidRDefault="0028280C" w:rsidP="00E43F4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b/>
                <w:bCs/>
                <w:sz w:val="22"/>
                <w:szCs w:val="22"/>
                <w:lang w:val="en-US"/>
              </w:rPr>
            </w:pPr>
            <w:r w:rsidRPr="00734D62">
              <w:rPr>
                <w:rFonts w:cstheme="minorHAnsi"/>
                <w:b/>
                <w:bCs/>
                <w:sz w:val="22"/>
                <w:szCs w:val="22"/>
                <w:lang w:val="en-US"/>
              </w:rPr>
              <w:t>2019</w:t>
            </w:r>
          </w:p>
        </w:tc>
      </w:tr>
      <w:tr w:rsidR="0028280C" w:rsidRPr="00734D62" w14:paraId="7EB127EA" w14:textId="77777777" w:rsidTr="00E43F48">
        <w:tc>
          <w:tcPr>
            <w:cnfStyle w:val="001000000000" w:firstRow="0" w:lastRow="0" w:firstColumn="1" w:lastColumn="0" w:oddVBand="0" w:evenVBand="0" w:oddHBand="0" w:evenHBand="0" w:firstRowFirstColumn="0" w:firstRowLastColumn="0" w:lastRowFirstColumn="0" w:lastRowLastColumn="0"/>
            <w:tcW w:w="750" w:type="dxa"/>
          </w:tcPr>
          <w:p w14:paraId="19B96754" w14:textId="77777777" w:rsidR="0028280C" w:rsidRPr="00734D62" w:rsidRDefault="0028280C" w:rsidP="00E43F48">
            <w:pPr>
              <w:spacing w:line="276" w:lineRule="auto"/>
              <w:jc w:val="right"/>
              <w:rPr>
                <w:rFonts w:cstheme="minorHAnsi"/>
                <w:b w:val="0"/>
                <w:bCs w:val="0"/>
                <w:sz w:val="22"/>
                <w:szCs w:val="22"/>
                <w:lang w:val="en-US"/>
              </w:rPr>
            </w:pPr>
            <w:r w:rsidRPr="00734D62">
              <w:rPr>
                <w:rFonts w:cstheme="minorHAnsi"/>
                <w:b w:val="0"/>
                <w:bCs w:val="0"/>
                <w:sz w:val="22"/>
                <w:szCs w:val="22"/>
                <w:lang w:val="en-US"/>
              </w:rPr>
              <w:t>823</w:t>
            </w:r>
          </w:p>
        </w:tc>
        <w:tc>
          <w:tcPr>
            <w:tcW w:w="750" w:type="dxa"/>
          </w:tcPr>
          <w:p w14:paraId="78BDB942" w14:textId="77777777" w:rsidR="0028280C" w:rsidRPr="00734D62" w:rsidRDefault="0028280C" w:rsidP="00E43F48">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22"/>
                <w:szCs w:val="22"/>
                <w:lang w:val="en-US"/>
              </w:rPr>
            </w:pPr>
            <w:r w:rsidRPr="00734D62">
              <w:rPr>
                <w:rFonts w:cstheme="minorHAnsi"/>
                <w:sz w:val="22"/>
                <w:szCs w:val="22"/>
                <w:lang w:val="en-US"/>
              </w:rPr>
              <w:t>529</w:t>
            </w:r>
          </w:p>
        </w:tc>
        <w:tc>
          <w:tcPr>
            <w:tcW w:w="751" w:type="dxa"/>
          </w:tcPr>
          <w:p w14:paraId="21791E93" w14:textId="77777777" w:rsidR="0028280C" w:rsidRPr="00734D62" w:rsidRDefault="0028280C" w:rsidP="00E43F48">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22"/>
                <w:szCs w:val="22"/>
                <w:lang w:val="en-US"/>
              </w:rPr>
            </w:pPr>
            <w:r w:rsidRPr="00734D62">
              <w:rPr>
                <w:rFonts w:cstheme="minorHAnsi"/>
                <w:sz w:val="22"/>
                <w:szCs w:val="22"/>
                <w:lang w:val="en-US"/>
              </w:rPr>
              <w:t>301</w:t>
            </w:r>
          </w:p>
        </w:tc>
        <w:tc>
          <w:tcPr>
            <w:tcW w:w="751" w:type="dxa"/>
          </w:tcPr>
          <w:p w14:paraId="3E96C226" w14:textId="77777777" w:rsidR="0028280C" w:rsidRPr="00734D62" w:rsidRDefault="0028280C" w:rsidP="00E43F48">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22"/>
                <w:szCs w:val="22"/>
                <w:lang w:val="en-US"/>
              </w:rPr>
            </w:pPr>
            <w:r w:rsidRPr="00734D62">
              <w:rPr>
                <w:rFonts w:cstheme="minorHAnsi"/>
                <w:sz w:val="22"/>
                <w:szCs w:val="22"/>
                <w:lang w:val="en-US"/>
              </w:rPr>
              <w:t>339</w:t>
            </w:r>
          </w:p>
        </w:tc>
        <w:tc>
          <w:tcPr>
            <w:tcW w:w="751" w:type="dxa"/>
          </w:tcPr>
          <w:p w14:paraId="38A2EFFD" w14:textId="77777777" w:rsidR="0028280C" w:rsidRPr="00734D62" w:rsidRDefault="0028280C" w:rsidP="00E43F48">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22"/>
                <w:szCs w:val="22"/>
                <w:lang w:val="en-US"/>
              </w:rPr>
            </w:pPr>
            <w:r w:rsidRPr="00734D62">
              <w:rPr>
                <w:rFonts w:cstheme="minorHAnsi"/>
                <w:sz w:val="22"/>
                <w:szCs w:val="22"/>
                <w:lang w:val="en-US"/>
              </w:rPr>
              <w:t>466</w:t>
            </w:r>
          </w:p>
        </w:tc>
        <w:tc>
          <w:tcPr>
            <w:tcW w:w="751" w:type="dxa"/>
          </w:tcPr>
          <w:p w14:paraId="5DDDA1FD" w14:textId="77777777" w:rsidR="0028280C" w:rsidRPr="00734D62" w:rsidRDefault="0028280C" w:rsidP="00E43F48">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22"/>
                <w:szCs w:val="22"/>
                <w:lang w:val="en-US"/>
              </w:rPr>
            </w:pPr>
            <w:r w:rsidRPr="00734D62">
              <w:rPr>
                <w:rFonts w:cstheme="minorHAnsi"/>
                <w:sz w:val="22"/>
                <w:szCs w:val="22"/>
                <w:lang w:val="en-US"/>
              </w:rPr>
              <w:t>593</w:t>
            </w:r>
          </w:p>
        </w:tc>
        <w:tc>
          <w:tcPr>
            <w:tcW w:w="751" w:type="dxa"/>
          </w:tcPr>
          <w:p w14:paraId="1A9C4207" w14:textId="77777777" w:rsidR="0028280C" w:rsidRPr="00734D62" w:rsidRDefault="0028280C" w:rsidP="00E43F48">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22"/>
                <w:szCs w:val="22"/>
                <w:lang w:val="en-US"/>
              </w:rPr>
            </w:pPr>
            <w:r w:rsidRPr="00734D62">
              <w:rPr>
                <w:rFonts w:cstheme="minorHAnsi"/>
                <w:sz w:val="22"/>
                <w:szCs w:val="22"/>
                <w:lang w:val="en-US"/>
              </w:rPr>
              <w:t>89</w:t>
            </w:r>
          </w:p>
        </w:tc>
        <w:tc>
          <w:tcPr>
            <w:tcW w:w="751" w:type="dxa"/>
          </w:tcPr>
          <w:p w14:paraId="779DB538" w14:textId="77777777" w:rsidR="0028280C" w:rsidRPr="00734D62" w:rsidRDefault="0028280C" w:rsidP="00E43F48">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22"/>
                <w:szCs w:val="22"/>
                <w:lang w:val="en-US"/>
              </w:rPr>
            </w:pPr>
            <w:r w:rsidRPr="00734D62">
              <w:rPr>
                <w:rFonts w:cstheme="minorHAnsi"/>
                <w:sz w:val="22"/>
                <w:szCs w:val="22"/>
                <w:lang w:val="en-US"/>
              </w:rPr>
              <w:t>34</w:t>
            </w:r>
          </w:p>
        </w:tc>
        <w:tc>
          <w:tcPr>
            <w:tcW w:w="751" w:type="dxa"/>
          </w:tcPr>
          <w:p w14:paraId="783E2BC3" w14:textId="77777777" w:rsidR="0028280C" w:rsidRPr="00734D62" w:rsidRDefault="0028280C" w:rsidP="00E43F48">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22"/>
                <w:szCs w:val="22"/>
                <w:lang w:val="en-US"/>
              </w:rPr>
            </w:pPr>
            <w:r w:rsidRPr="00734D62">
              <w:rPr>
                <w:rFonts w:cstheme="minorHAnsi"/>
                <w:sz w:val="22"/>
                <w:szCs w:val="22"/>
                <w:lang w:val="en-US"/>
              </w:rPr>
              <w:t>40</w:t>
            </w:r>
          </w:p>
        </w:tc>
        <w:tc>
          <w:tcPr>
            <w:tcW w:w="751" w:type="dxa"/>
          </w:tcPr>
          <w:p w14:paraId="0421D2F3" w14:textId="77777777" w:rsidR="0028280C" w:rsidRPr="00734D62" w:rsidRDefault="0028280C" w:rsidP="00E43F48">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22"/>
                <w:szCs w:val="22"/>
                <w:lang w:val="en-US"/>
              </w:rPr>
            </w:pPr>
            <w:r w:rsidRPr="00734D62">
              <w:rPr>
                <w:rFonts w:cstheme="minorHAnsi"/>
                <w:sz w:val="22"/>
                <w:szCs w:val="22"/>
                <w:lang w:val="en-US"/>
              </w:rPr>
              <w:t>29</w:t>
            </w:r>
          </w:p>
        </w:tc>
        <w:tc>
          <w:tcPr>
            <w:tcW w:w="751" w:type="dxa"/>
          </w:tcPr>
          <w:p w14:paraId="20A6788A" w14:textId="77777777" w:rsidR="0028280C" w:rsidRPr="00734D62" w:rsidRDefault="0028280C" w:rsidP="00E43F48">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22"/>
                <w:szCs w:val="22"/>
                <w:lang w:val="en-US"/>
              </w:rPr>
            </w:pPr>
            <w:r w:rsidRPr="00734D62">
              <w:rPr>
                <w:rFonts w:cstheme="minorHAnsi"/>
                <w:sz w:val="22"/>
                <w:szCs w:val="22"/>
                <w:lang w:val="en-US"/>
              </w:rPr>
              <w:t>39</w:t>
            </w:r>
          </w:p>
        </w:tc>
        <w:tc>
          <w:tcPr>
            <w:tcW w:w="751" w:type="dxa"/>
          </w:tcPr>
          <w:p w14:paraId="2D6B0BD1" w14:textId="77777777" w:rsidR="0028280C" w:rsidRPr="00734D62" w:rsidRDefault="0028280C" w:rsidP="00E43F48">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22"/>
                <w:szCs w:val="22"/>
                <w:lang w:val="en-US"/>
              </w:rPr>
            </w:pPr>
            <w:r w:rsidRPr="00734D62">
              <w:rPr>
                <w:rFonts w:cstheme="minorHAnsi"/>
                <w:sz w:val="22"/>
                <w:szCs w:val="22"/>
                <w:lang w:val="en-US"/>
              </w:rPr>
              <w:t>52</w:t>
            </w:r>
          </w:p>
        </w:tc>
      </w:tr>
    </w:tbl>
    <w:p w14:paraId="6D5537C9" w14:textId="77777777" w:rsidR="0028280C" w:rsidRPr="000842E3" w:rsidRDefault="0028280C" w:rsidP="0028280C">
      <w:pPr>
        <w:spacing w:line="276" w:lineRule="auto"/>
        <w:jc w:val="both"/>
        <w:rPr>
          <w:rFonts w:ascii="Times New Roman" w:hAnsi="Times New Roman" w:cs="Times New Roman"/>
          <w:b/>
          <w:bCs/>
          <w:sz w:val="20"/>
          <w:szCs w:val="20"/>
          <w:lang w:val="en-US"/>
        </w:rPr>
      </w:pPr>
      <w:r w:rsidRPr="000842E3">
        <w:rPr>
          <w:rFonts w:ascii="Times New Roman" w:hAnsi="Times New Roman" w:cs="Times New Roman"/>
          <w:b/>
          <w:bCs/>
          <w:sz w:val="20"/>
          <w:szCs w:val="20"/>
          <w:lang w:val="en-US"/>
        </w:rPr>
        <w:t>Source: CNUCED 2020</w:t>
      </w:r>
    </w:p>
    <w:p w14:paraId="794A1CEB" w14:textId="07340641" w:rsidR="0028280C" w:rsidRPr="000842E3" w:rsidRDefault="0028280C" w:rsidP="0028280C">
      <w:pPr>
        <w:spacing w:line="276" w:lineRule="auto"/>
        <w:jc w:val="both"/>
        <w:rPr>
          <w:rFonts w:ascii="Times New Roman" w:hAnsi="Times New Roman" w:cs="Times New Roman"/>
          <w:color w:val="000000" w:themeColor="text1"/>
        </w:rPr>
      </w:pPr>
      <w:r w:rsidRPr="000842E3">
        <w:rPr>
          <w:rFonts w:ascii="Times New Roman" w:hAnsi="Times New Roman" w:cs="Times New Roman"/>
          <w:color w:val="000000" w:themeColor="text1"/>
        </w:rPr>
        <w:t xml:space="preserve">Estimés </w:t>
      </w:r>
      <w:r w:rsidR="00C77A02">
        <w:rPr>
          <w:rFonts w:ascii="Times New Roman" w:hAnsi="Times New Roman" w:cs="Times New Roman"/>
          <w:color w:val="000000" w:themeColor="text1"/>
        </w:rPr>
        <w:t xml:space="preserve">à </w:t>
      </w:r>
      <w:r w:rsidRPr="000842E3">
        <w:rPr>
          <w:rFonts w:ascii="Times New Roman" w:hAnsi="Times New Roman" w:cs="Times New Roman"/>
          <w:color w:val="000000" w:themeColor="text1"/>
        </w:rPr>
        <w:t xml:space="preserve">2,2 % du PIB seulement en 2020, </w:t>
      </w:r>
      <w:r w:rsidRPr="000842E3">
        <w:rPr>
          <w:rFonts w:ascii="Times New Roman" w:hAnsi="Times New Roman" w:cs="Times New Roman"/>
          <w:b/>
          <w:i/>
          <w:color w:val="000000" w:themeColor="text1"/>
        </w:rPr>
        <w:t>les envois de fonds ne sont pas une source prééminente de financement et d'afflux de capitaux au Niger</w:t>
      </w:r>
      <w:r w:rsidRPr="000842E3">
        <w:rPr>
          <w:rFonts w:ascii="Times New Roman" w:hAnsi="Times New Roman" w:cs="Times New Roman"/>
          <w:color w:val="000000" w:themeColor="text1"/>
        </w:rPr>
        <w:t>. Néanmoins, les données de la Banque mondiale montrent que les envois de fonds entrants sont restés relativement importants même en 2020 malgré la pandémie.</w:t>
      </w:r>
    </w:p>
    <w:p w14:paraId="2B4449CD" w14:textId="77777777" w:rsidR="0028280C" w:rsidRPr="000842E3" w:rsidRDefault="0028280C" w:rsidP="0028280C">
      <w:pPr>
        <w:spacing w:line="276" w:lineRule="auto"/>
        <w:jc w:val="both"/>
        <w:rPr>
          <w:rFonts w:ascii="Times New Roman" w:hAnsi="Times New Roman" w:cs="Times New Roman"/>
          <w:color w:val="000000" w:themeColor="text1"/>
        </w:rPr>
      </w:pPr>
      <w:r w:rsidRPr="000842E3">
        <w:rPr>
          <w:rFonts w:ascii="Times New Roman" w:hAnsi="Times New Roman" w:cs="Times New Roman"/>
          <w:b/>
          <w:bCs/>
          <w:i/>
          <w:color w:val="000000" w:themeColor="text1"/>
        </w:rPr>
        <w:t>Par ailleurs, le Niger enregistre des niveaux d'inclusion financière globalement très faibles</w:t>
      </w:r>
      <w:r w:rsidRPr="000842E3">
        <w:rPr>
          <w:rFonts w:ascii="Times New Roman" w:hAnsi="Times New Roman" w:cs="Times New Roman"/>
          <w:b/>
          <w:bCs/>
          <w:color w:val="000000" w:themeColor="text1"/>
        </w:rPr>
        <w:t xml:space="preserve">. </w:t>
      </w:r>
      <w:r w:rsidRPr="000842E3">
        <w:rPr>
          <w:rFonts w:ascii="Times New Roman" w:hAnsi="Times New Roman" w:cs="Times New Roman"/>
          <w:color w:val="000000" w:themeColor="text1"/>
        </w:rPr>
        <w:t>Cela inclut, à la fois, les ménages et les entreprises et contribue au faible niveau de développement du secteur privé.</w:t>
      </w:r>
    </w:p>
    <w:p w14:paraId="75CFFCA2" w14:textId="77777777" w:rsidR="0028280C" w:rsidRPr="00E25B1F" w:rsidRDefault="0028280C" w:rsidP="00E25B1F">
      <w:pPr>
        <w:pStyle w:val="Titre3"/>
        <w:rPr>
          <w:rFonts w:ascii="Bernard MT Condensed" w:hAnsi="Bernard MT Condensed"/>
        </w:rPr>
      </w:pPr>
      <w:bookmarkStart w:id="377" w:name="_Toc84789693"/>
      <w:bookmarkStart w:id="378" w:name="_Toc86687760"/>
      <w:bookmarkStart w:id="379" w:name="_Toc89479442"/>
      <w:bookmarkStart w:id="380" w:name="_Toc89480940"/>
      <w:bookmarkStart w:id="381" w:name="_Toc94480182"/>
      <w:bookmarkStart w:id="382" w:name="_Toc94481843"/>
      <w:bookmarkStart w:id="383" w:name="_Toc94482106"/>
      <w:r w:rsidRPr="00E25B1F">
        <w:rPr>
          <w:rFonts w:ascii="Bernard MT Condensed" w:hAnsi="Bernard MT Condensed"/>
        </w:rPr>
        <w:t>IV.2.3 - Profil de la dette du Niger</w:t>
      </w:r>
      <w:bookmarkEnd w:id="377"/>
      <w:bookmarkEnd w:id="378"/>
      <w:bookmarkEnd w:id="379"/>
      <w:bookmarkEnd w:id="380"/>
      <w:bookmarkEnd w:id="381"/>
      <w:bookmarkEnd w:id="382"/>
      <w:bookmarkEnd w:id="383"/>
    </w:p>
    <w:p w14:paraId="471BD7C6" w14:textId="2BC4BEF3" w:rsidR="0028280C" w:rsidRPr="000842E3" w:rsidRDefault="0028280C" w:rsidP="0028280C">
      <w:pPr>
        <w:spacing w:line="276" w:lineRule="auto"/>
        <w:jc w:val="both"/>
        <w:rPr>
          <w:rFonts w:ascii="Times New Roman" w:hAnsi="Times New Roman" w:cs="Times New Roman"/>
        </w:rPr>
      </w:pPr>
      <w:r w:rsidRPr="000842E3">
        <w:rPr>
          <w:rFonts w:ascii="Times New Roman" w:hAnsi="Times New Roman" w:cs="Times New Roman"/>
          <w:bCs/>
        </w:rPr>
        <w:t>Le Niger est éligible à l'Initiative de suspension du service de la dette (DSSI) du G20 et a demandé un gel temporaire des remboursements du service de la dette dans le cadre du programme</w:t>
      </w:r>
      <w:r w:rsidRPr="000842E3">
        <w:rPr>
          <w:rFonts w:ascii="Times New Roman" w:hAnsi="Times New Roman" w:cs="Times New Roman"/>
          <w:b/>
          <w:bCs/>
        </w:rPr>
        <w:t xml:space="preserve">. </w:t>
      </w:r>
      <w:r w:rsidRPr="000842E3">
        <w:rPr>
          <w:rFonts w:ascii="Times New Roman" w:hAnsi="Times New Roman" w:cs="Times New Roman"/>
          <w:bCs/>
        </w:rPr>
        <w:t>Conformément à cette initiative, l</w:t>
      </w:r>
      <w:r w:rsidRPr="000842E3">
        <w:rPr>
          <w:rFonts w:ascii="Times New Roman" w:hAnsi="Times New Roman" w:cs="Times New Roman"/>
        </w:rPr>
        <w:t xml:space="preserve">e service de la dette envers les créanciers bilatéraux du G20 est suspendu </w:t>
      </w:r>
      <w:r w:rsidR="00C77A02">
        <w:rPr>
          <w:rFonts w:ascii="Times New Roman" w:hAnsi="Times New Roman" w:cs="Times New Roman"/>
        </w:rPr>
        <w:t>au cours de la période</w:t>
      </w:r>
      <w:r w:rsidRPr="000842E3">
        <w:rPr>
          <w:rFonts w:ascii="Times New Roman" w:hAnsi="Times New Roman" w:cs="Times New Roman"/>
        </w:rPr>
        <w:t xml:space="preserve"> 2020 et 2021 et reprendra en 2023. Cela se traduira par des économies sur le service de la dette équivalant à environ 26 millions de dollars US entre mai et décembre 2020 et 24 millions de dollars US, entre janvier-juin 2021, soit 0,2% du PIB. Mais, l'impact de ce programme n'est pas si important pour le Niger puisque la majeure partie de sa dette est due à des institutions financières multilatérales qui ne sont pas concernées par l'initiative.</w:t>
      </w:r>
      <w:r w:rsidRPr="000842E3">
        <w:rPr>
          <w:rStyle w:val="Appelnotedebasdep"/>
          <w:rFonts w:ascii="Times New Roman" w:hAnsi="Times New Roman" w:cs="Times New Roman"/>
          <w:lang w:val="en-US"/>
        </w:rPr>
        <w:footnoteReference w:id="117"/>
      </w:r>
    </w:p>
    <w:p w14:paraId="1231A9C3" w14:textId="2ACD51A0" w:rsidR="0028280C" w:rsidRPr="00B714DF" w:rsidRDefault="0028280C" w:rsidP="0028280C">
      <w:pPr>
        <w:spacing w:line="276" w:lineRule="auto"/>
        <w:jc w:val="both"/>
        <w:rPr>
          <w:rFonts w:ascii="Times New Roman" w:hAnsi="Times New Roman" w:cs="Times New Roman"/>
        </w:rPr>
      </w:pPr>
      <w:r w:rsidRPr="000842E3">
        <w:rPr>
          <w:rFonts w:ascii="Times New Roman" w:hAnsi="Times New Roman" w:cs="Times New Roman"/>
          <w:b/>
          <w:bCs/>
        </w:rPr>
        <w:t xml:space="preserve">Le profil de la dette nigérienne a sensiblement évolué au cours des deux dernières décennies. </w:t>
      </w:r>
      <w:r w:rsidRPr="000842E3">
        <w:rPr>
          <w:rFonts w:ascii="Times New Roman" w:hAnsi="Times New Roman" w:cs="Times New Roman"/>
        </w:rPr>
        <w:t>Les créanciers hors Club de Paris représentent désormais la majorité des prêteurs bilatéraux du Niger, notamment la Chine, l'Arabie saoudite et l'Inde (voir tableau). La plupart des membres du Club de Paris ont annulé leurs créances sur le Niger dans le cadre du processus de l'Initiative en faveur des pays pauvres très endettés (PPTE), que le Niger a achevé en 2004.</w:t>
      </w:r>
      <w:r w:rsidRPr="000842E3">
        <w:rPr>
          <w:rStyle w:val="Appelnotedebasdep"/>
          <w:rFonts w:ascii="Times New Roman" w:hAnsi="Times New Roman" w:cs="Times New Roman"/>
          <w:lang w:val="en-US"/>
        </w:rPr>
        <w:footnoteReference w:id="118"/>
      </w:r>
      <w:r w:rsidRPr="000842E3">
        <w:rPr>
          <w:rFonts w:ascii="Times New Roman" w:hAnsi="Times New Roman" w:cs="Times New Roman"/>
        </w:rPr>
        <w:t>La France est le plus grand prêteur du Club de Paris au Niger, et toute cette dette est concessionnelle. Pour les prêteurs hors Club de Paris, les modalités des prêts ne sont pas connues.</w:t>
      </w:r>
    </w:p>
    <w:p w14:paraId="164A67B9" w14:textId="0C5C4720" w:rsidR="0028280C" w:rsidRPr="000842E3" w:rsidRDefault="0028280C" w:rsidP="0028280C">
      <w:pPr>
        <w:spacing w:line="276" w:lineRule="auto"/>
        <w:jc w:val="both"/>
        <w:rPr>
          <w:rFonts w:ascii="Times New Roman" w:hAnsi="Times New Roman" w:cs="Times New Roman"/>
        </w:rPr>
      </w:pPr>
      <w:r w:rsidRPr="000842E3">
        <w:rPr>
          <w:rFonts w:ascii="Times New Roman" w:hAnsi="Times New Roman" w:cs="Times New Roman"/>
          <w:b/>
          <w:bCs/>
        </w:rPr>
        <w:lastRenderedPageBreak/>
        <w:t>Le Niger a sollicité une aide financière supplémentaire auprès de partenaires multilatérau</w:t>
      </w:r>
      <w:r w:rsidR="007554AD">
        <w:rPr>
          <w:rFonts w:ascii="Times New Roman" w:hAnsi="Times New Roman" w:cs="Times New Roman"/>
          <w:b/>
          <w:bCs/>
        </w:rPr>
        <w:t>x afin de répondre à la crise de la</w:t>
      </w:r>
      <w:r w:rsidRPr="000842E3">
        <w:rPr>
          <w:rFonts w:ascii="Times New Roman" w:hAnsi="Times New Roman" w:cs="Times New Roman"/>
          <w:b/>
          <w:bCs/>
        </w:rPr>
        <w:t xml:space="preserve"> COVID-19, qui a encore accru son niveau de dette extérieure.</w:t>
      </w:r>
      <w:r w:rsidRPr="000842E3">
        <w:rPr>
          <w:rFonts w:ascii="Times New Roman" w:hAnsi="Times New Roman" w:cs="Times New Roman"/>
        </w:rPr>
        <w:t xml:space="preserve"> Il a emprunté 111,8</w:t>
      </w:r>
      <w:r>
        <w:rPr>
          <w:rFonts w:ascii="Times New Roman" w:hAnsi="Times New Roman" w:cs="Times New Roman"/>
        </w:rPr>
        <w:t xml:space="preserve"> </w:t>
      </w:r>
      <w:r w:rsidRPr="000842E3">
        <w:rPr>
          <w:rFonts w:ascii="Times New Roman" w:hAnsi="Times New Roman" w:cs="Times New Roman"/>
        </w:rPr>
        <w:t>millions de dollars US supplémentaires au FMI en 2020 dans le cadre du Fonds fiduciaire pour la réduction de la pauvreté et la croissance (PRGT).</w:t>
      </w:r>
      <w:r w:rsidRPr="000842E3">
        <w:rPr>
          <w:rStyle w:val="Appelnotedebasdep"/>
          <w:rFonts w:ascii="Times New Roman" w:hAnsi="Times New Roman" w:cs="Times New Roman"/>
          <w:lang w:val="en-US"/>
        </w:rPr>
        <w:footnoteReference w:id="119"/>
      </w:r>
    </w:p>
    <w:p w14:paraId="20F33034" w14:textId="55067386" w:rsidR="007554AD" w:rsidRPr="0037783A" w:rsidRDefault="0028280C" w:rsidP="0028280C">
      <w:pPr>
        <w:spacing w:line="276" w:lineRule="auto"/>
        <w:jc w:val="both"/>
        <w:rPr>
          <w:rFonts w:ascii="Times New Roman" w:hAnsi="Times New Roman" w:cs="Times New Roman"/>
        </w:rPr>
      </w:pPr>
      <w:r w:rsidRPr="000842E3">
        <w:rPr>
          <w:rFonts w:ascii="Times New Roman" w:hAnsi="Times New Roman" w:cs="Times New Roman"/>
          <w:b/>
          <w:bCs/>
        </w:rPr>
        <w:t>Le service de la dette n'a cessé d'augmenter au cours des 10 dernières années.</w:t>
      </w:r>
      <w:r w:rsidRPr="000842E3">
        <w:rPr>
          <w:rFonts w:ascii="Times New Roman" w:hAnsi="Times New Roman" w:cs="Times New Roman"/>
        </w:rPr>
        <w:t xml:space="preserve"> Le service de la dette, mesuré en pourcentage des exportations, est passé de 1,9 % en 2010 à 7,8 % en 2018 (la dernière année pour laquelle des données sont disponibles), et a enregistré plus de 8,5 % pour certaines années au cours de cette période.</w:t>
      </w:r>
      <w:r w:rsidRPr="000842E3">
        <w:rPr>
          <w:rStyle w:val="Appelnotedebasdep"/>
          <w:rFonts w:ascii="Times New Roman" w:hAnsi="Times New Roman" w:cs="Times New Roman"/>
          <w:lang w:val="en-US"/>
        </w:rPr>
        <w:footnoteReference w:id="120"/>
      </w:r>
      <w:r w:rsidRPr="000842E3">
        <w:rPr>
          <w:rFonts w:ascii="Times New Roman" w:hAnsi="Times New Roman" w:cs="Times New Roman"/>
        </w:rPr>
        <w:t xml:space="preserve"> Tout en augmentant, il reste cependant inférieur au seuil de soutenabilité PPTE de 15 </w:t>
      </w:r>
      <w:r>
        <w:rPr>
          <w:rFonts w:ascii="Times New Roman" w:hAnsi="Times New Roman" w:cs="Times New Roman"/>
        </w:rPr>
        <w:t>%.</w:t>
      </w:r>
    </w:p>
    <w:p w14:paraId="7DCC848D" w14:textId="77777777" w:rsidR="0028280C" w:rsidRPr="00353B04" w:rsidRDefault="0028280C" w:rsidP="0028280C">
      <w:pPr>
        <w:spacing w:line="276" w:lineRule="auto"/>
        <w:jc w:val="both"/>
        <w:rPr>
          <w:b/>
          <w:bCs/>
        </w:rPr>
      </w:pPr>
      <w:r w:rsidRPr="000842E3">
        <w:rPr>
          <w:rFonts w:ascii="Times New Roman" w:hAnsi="Times New Roman" w:cs="Times New Roman"/>
          <w:b/>
          <w:bCs/>
        </w:rPr>
        <w:t>Profil de la dette du Niger</w:t>
      </w:r>
      <w:r>
        <w:rPr>
          <w:rStyle w:val="Appelnotedebasdep"/>
          <w:b/>
          <w:bCs/>
          <w:lang w:val="en-US"/>
        </w:rPr>
        <w:footnoteReference w:id="121"/>
      </w:r>
    </w:p>
    <w:tbl>
      <w:tblPr>
        <w:tblStyle w:val="TableauGrille4-Accentuation5"/>
        <w:tblW w:w="0" w:type="auto"/>
        <w:tblLook w:val="04A0" w:firstRow="1" w:lastRow="0" w:firstColumn="1" w:lastColumn="0" w:noHBand="0" w:noVBand="1"/>
      </w:tblPr>
      <w:tblGrid>
        <w:gridCol w:w="2405"/>
        <w:gridCol w:w="3601"/>
        <w:gridCol w:w="3004"/>
      </w:tblGrid>
      <w:tr w:rsidR="0028280C" w:rsidRPr="00CE1278" w14:paraId="0EF4F7D0" w14:textId="77777777" w:rsidTr="00E43F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2A061520" w14:textId="77777777" w:rsidR="0028280C" w:rsidRPr="000842E3" w:rsidRDefault="0028280C" w:rsidP="00E43F48">
            <w:pPr>
              <w:spacing w:line="276" w:lineRule="auto"/>
              <w:jc w:val="both"/>
              <w:rPr>
                <w:rFonts w:ascii="Times New Roman" w:hAnsi="Times New Roman" w:cs="Times New Roman"/>
                <w:sz w:val="20"/>
                <w:szCs w:val="20"/>
                <w:lang w:val="en-US"/>
              </w:rPr>
            </w:pPr>
            <w:r w:rsidRPr="000842E3">
              <w:rPr>
                <w:rFonts w:ascii="Times New Roman" w:hAnsi="Times New Roman" w:cs="Times New Roman"/>
                <w:sz w:val="20"/>
                <w:szCs w:val="20"/>
                <w:lang w:val="en-US"/>
              </w:rPr>
              <w:t>Type de créancier</w:t>
            </w:r>
          </w:p>
        </w:tc>
        <w:tc>
          <w:tcPr>
            <w:tcW w:w="3601" w:type="dxa"/>
          </w:tcPr>
          <w:p w14:paraId="466548DD" w14:textId="77777777" w:rsidR="0028280C" w:rsidRPr="000842E3" w:rsidRDefault="0028280C" w:rsidP="00E43F48">
            <w:pPr>
              <w:spacing w:line="276"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842E3">
              <w:rPr>
                <w:rFonts w:ascii="Times New Roman" w:hAnsi="Times New Roman" w:cs="Times New Roman"/>
                <w:sz w:val="20"/>
                <w:szCs w:val="20"/>
                <w:lang w:val="en-US"/>
              </w:rPr>
              <w:t>Nom du créancier</w:t>
            </w:r>
          </w:p>
        </w:tc>
        <w:tc>
          <w:tcPr>
            <w:tcW w:w="3004" w:type="dxa"/>
          </w:tcPr>
          <w:p w14:paraId="36A910C4" w14:textId="77777777" w:rsidR="0028280C" w:rsidRPr="000842E3" w:rsidRDefault="0028280C" w:rsidP="00E43F48">
            <w:pPr>
              <w:spacing w:line="276"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fr-FR"/>
              </w:rPr>
            </w:pPr>
            <w:r w:rsidRPr="000842E3">
              <w:rPr>
                <w:rFonts w:ascii="Times New Roman" w:hAnsi="Times New Roman" w:cs="Times New Roman"/>
                <w:sz w:val="20"/>
                <w:szCs w:val="20"/>
                <w:lang w:val="fr-FR"/>
              </w:rPr>
              <w:t>Montant de la dette (2019) en milliers de dollars US</w:t>
            </w:r>
          </w:p>
        </w:tc>
      </w:tr>
      <w:tr w:rsidR="0028280C" w:rsidRPr="00CE1278" w14:paraId="103D0B7D" w14:textId="77777777" w:rsidTr="00E43F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66D39A69" w14:textId="77777777" w:rsidR="0028280C" w:rsidRPr="000842E3" w:rsidRDefault="0028280C" w:rsidP="00E43F48">
            <w:pPr>
              <w:spacing w:line="276" w:lineRule="auto"/>
              <w:jc w:val="both"/>
              <w:rPr>
                <w:rFonts w:ascii="Times New Roman" w:hAnsi="Times New Roman" w:cs="Times New Roman"/>
                <w:sz w:val="20"/>
                <w:szCs w:val="20"/>
                <w:lang w:val="fr-FR"/>
              </w:rPr>
            </w:pPr>
            <w:r w:rsidRPr="000842E3">
              <w:rPr>
                <w:rFonts w:ascii="Times New Roman" w:hAnsi="Times New Roman" w:cs="Times New Roman"/>
                <w:sz w:val="20"/>
                <w:szCs w:val="20"/>
                <w:lang w:val="fr-FR"/>
              </w:rPr>
              <w:t>Multilatéral officiel</w:t>
            </w:r>
          </w:p>
          <w:p w14:paraId="5ED7A2A8" w14:textId="77777777" w:rsidR="0028280C" w:rsidRPr="000842E3" w:rsidRDefault="0028280C" w:rsidP="00E43F48">
            <w:pPr>
              <w:spacing w:line="276" w:lineRule="auto"/>
              <w:jc w:val="both"/>
              <w:rPr>
                <w:rFonts w:ascii="Times New Roman" w:hAnsi="Times New Roman" w:cs="Times New Roman"/>
                <w:sz w:val="20"/>
                <w:szCs w:val="20"/>
                <w:lang w:val="fr-FR"/>
              </w:rPr>
            </w:pPr>
          </w:p>
          <w:p w14:paraId="1187F22F" w14:textId="77777777" w:rsidR="0028280C" w:rsidRPr="000842E3" w:rsidRDefault="0028280C" w:rsidP="00E43F48">
            <w:pPr>
              <w:spacing w:line="276" w:lineRule="auto"/>
              <w:jc w:val="both"/>
              <w:rPr>
                <w:rFonts w:ascii="Times New Roman" w:hAnsi="Times New Roman" w:cs="Times New Roman"/>
                <w:sz w:val="20"/>
                <w:szCs w:val="20"/>
                <w:lang w:val="fr-FR"/>
              </w:rPr>
            </w:pPr>
          </w:p>
          <w:p w14:paraId="27629ED0" w14:textId="77777777" w:rsidR="0028280C" w:rsidRPr="000842E3" w:rsidRDefault="0028280C" w:rsidP="00E43F48">
            <w:pPr>
              <w:spacing w:line="276" w:lineRule="auto"/>
              <w:jc w:val="both"/>
              <w:rPr>
                <w:rFonts w:ascii="Times New Roman" w:hAnsi="Times New Roman" w:cs="Times New Roman"/>
                <w:sz w:val="20"/>
                <w:szCs w:val="20"/>
                <w:lang w:val="fr-FR"/>
              </w:rPr>
            </w:pPr>
          </w:p>
          <w:p w14:paraId="0D734BB6" w14:textId="77777777" w:rsidR="0028280C" w:rsidRPr="000842E3" w:rsidRDefault="0028280C" w:rsidP="00E43F48">
            <w:pPr>
              <w:spacing w:line="276" w:lineRule="auto"/>
              <w:jc w:val="both"/>
              <w:rPr>
                <w:rFonts w:ascii="Times New Roman" w:hAnsi="Times New Roman" w:cs="Times New Roman"/>
                <w:sz w:val="20"/>
                <w:szCs w:val="20"/>
                <w:lang w:val="fr-FR"/>
              </w:rPr>
            </w:pPr>
            <w:r w:rsidRPr="000842E3">
              <w:rPr>
                <w:rFonts w:ascii="Times New Roman" w:hAnsi="Times New Roman" w:cs="Times New Roman"/>
                <w:sz w:val="20"/>
                <w:szCs w:val="20"/>
                <w:lang w:val="fr-FR"/>
              </w:rPr>
              <w:t>Total officiel multilatéral</w:t>
            </w:r>
          </w:p>
        </w:tc>
        <w:tc>
          <w:tcPr>
            <w:tcW w:w="3601" w:type="dxa"/>
          </w:tcPr>
          <w:p w14:paraId="1B2C36CC" w14:textId="77777777" w:rsidR="0028280C" w:rsidRPr="000842E3" w:rsidRDefault="0028280C" w:rsidP="00E43F48">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fr-FR"/>
              </w:rPr>
            </w:pPr>
            <w:r w:rsidRPr="000842E3">
              <w:rPr>
                <w:rFonts w:ascii="Times New Roman" w:hAnsi="Times New Roman" w:cs="Times New Roman"/>
                <w:sz w:val="20"/>
                <w:szCs w:val="20"/>
                <w:lang w:val="fr-FR"/>
              </w:rPr>
              <w:t>Banque africaine de développement</w:t>
            </w:r>
          </w:p>
          <w:p w14:paraId="0A3EF3FF" w14:textId="77777777" w:rsidR="0028280C" w:rsidRPr="000842E3" w:rsidRDefault="0028280C" w:rsidP="00E43F48">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fr-FR"/>
              </w:rPr>
            </w:pPr>
            <w:r w:rsidRPr="000842E3">
              <w:rPr>
                <w:rFonts w:ascii="Times New Roman" w:hAnsi="Times New Roman" w:cs="Times New Roman"/>
                <w:sz w:val="20"/>
                <w:szCs w:val="20"/>
                <w:lang w:val="fr-FR"/>
              </w:rPr>
              <w:t>Fond monétaire international</w:t>
            </w:r>
          </w:p>
          <w:p w14:paraId="2C2346D8" w14:textId="77777777" w:rsidR="0028280C" w:rsidRPr="000842E3" w:rsidRDefault="0028280C" w:rsidP="00E43F48">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fr-FR"/>
              </w:rPr>
            </w:pPr>
            <w:r w:rsidRPr="000842E3">
              <w:rPr>
                <w:rFonts w:ascii="Times New Roman" w:hAnsi="Times New Roman" w:cs="Times New Roman"/>
                <w:sz w:val="20"/>
                <w:szCs w:val="20"/>
                <w:lang w:val="fr-FR"/>
              </w:rPr>
              <w:t>Banque mondiale (IDA)</w:t>
            </w:r>
          </w:p>
          <w:p w14:paraId="606191B3" w14:textId="77777777" w:rsidR="0028280C" w:rsidRPr="000842E3" w:rsidRDefault="0028280C" w:rsidP="00E43F48">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fr-FR"/>
              </w:rPr>
            </w:pPr>
            <w:r w:rsidRPr="000842E3">
              <w:rPr>
                <w:rFonts w:ascii="Times New Roman" w:hAnsi="Times New Roman" w:cs="Times New Roman"/>
                <w:sz w:val="20"/>
                <w:szCs w:val="20"/>
                <w:lang w:val="fr-FR"/>
              </w:rPr>
              <w:t>Autres multilatéraux</w:t>
            </w:r>
          </w:p>
        </w:tc>
        <w:tc>
          <w:tcPr>
            <w:tcW w:w="3004" w:type="dxa"/>
          </w:tcPr>
          <w:p w14:paraId="1A1F79F0" w14:textId="77777777" w:rsidR="0028280C" w:rsidRPr="000842E3" w:rsidRDefault="0028280C" w:rsidP="00E43F48">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0842E3">
              <w:rPr>
                <w:rFonts w:ascii="Times New Roman" w:hAnsi="Times New Roman" w:cs="Times New Roman"/>
                <w:sz w:val="20"/>
                <w:szCs w:val="20"/>
                <w:lang w:val="en-US"/>
              </w:rPr>
              <w:t>328 485</w:t>
            </w:r>
          </w:p>
          <w:p w14:paraId="4495B3F8" w14:textId="77777777" w:rsidR="0028280C" w:rsidRPr="000842E3" w:rsidRDefault="0028280C" w:rsidP="00E43F48">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0842E3">
              <w:rPr>
                <w:rFonts w:ascii="Times New Roman" w:hAnsi="Times New Roman" w:cs="Times New Roman"/>
                <w:sz w:val="20"/>
                <w:szCs w:val="20"/>
                <w:lang w:val="en-US"/>
              </w:rPr>
              <w:t>345 668</w:t>
            </w:r>
          </w:p>
          <w:p w14:paraId="3E260B62" w14:textId="77777777" w:rsidR="0028280C" w:rsidRPr="000842E3" w:rsidRDefault="0028280C" w:rsidP="00E43F48">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0842E3">
              <w:rPr>
                <w:rFonts w:ascii="Times New Roman" w:hAnsi="Times New Roman" w:cs="Times New Roman"/>
                <w:sz w:val="20"/>
                <w:szCs w:val="20"/>
                <w:lang w:val="en-US"/>
              </w:rPr>
              <w:t>1 346 786</w:t>
            </w:r>
          </w:p>
          <w:p w14:paraId="548F83B8" w14:textId="77777777" w:rsidR="0028280C" w:rsidRPr="000842E3" w:rsidRDefault="0028280C" w:rsidP="00E43F48">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0842E3">
              <w:rPr>
                <w:rFonts w:ascii="Times New Roman" w:hAnsi="Times New Roman" w:cs="Times New Roman"/>
                <w:sz w:val="20"/>
                <w:szCs w:val="20"/>
                <w:lang w:val="en-US"/>
              </w:rPr>
              <w:t>780 905</w:t>
            </w:r>
          </w:p>
          <w:p w14:paraId="20BD10DF" w14:textId="77777777" w:rsidR="0028280C" w:rsidRPr="000842E3" w:rsidRDefault="0028280C" w:rsidP="00E43F48">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lang w:val="en-US"/>
              </w:rPr>
            </w:pPr>
            <w:r w:rsidRPr="000842E3">
              <w:rPr>
                <w:rFonts w:ascii="Times New Roman" w:hAnsi="Times New Roman" w:cs="Times New Roman"/>
                <w:b/>
                <w:bCs/>
                <w:sz w:val="20"/>
                <w:szCs w:val="20"/>
                <w:lang w:val="en-US"/>
              </w:rPr>
              <w:t>2.801.845</w:t>
            </w:r>
          </w:p>
        </w:tc>
      </w:tr>
      <w:tr w:rsidR="0028280C" w:rsidRPr="00CE1278" w14:paraId="13D2F08F" w14:textId="77777777" w:rsidTr="00E43F48">
        <w:tc>
          <w:tcPr>
            <w:cnfStyle w:val="001000000000" w:firstRow="0" w:lastRow="0" w:firstColumn="1" w:lastColumn="0" w:oddVBand="0" w:evenVBand="0" w:oddHBand="0" w:evenHBand="0" w:firstRowFirstColumn="0" w:firstRowLastColumn="0" w:lastRowFirstColumn="0" w:lastRowLastColumn="0"/>
            <w:tcW w:w="2405" w:type="dxa"/>
          </w:tcPr>
          <w:p w14:paraId="10EE7109" w14:textId="77777777" w:rsidR="0028280C" w:rsidRPr="000842E3" w:rsidRDefault="0028280C" w:rsidP="00E43F48">
            <w:pPr>
              <w:spacing w:line="276" w:lineRule="auto"/>
              <w:jc w:val="both"/>
              <w:rPr>
                <w:rFonts w:ascii="Times New Roman" w:hAnsi="Times New Roman" w:cs="Times New Roman"/>
                <w:sz w:val="20"/>
                <w:szCs w:val="20"/>
                <w:lang w:val="fr-FR"/>
              </w:rPr>
            </w:pPr>
            <w:r w:rsidRPr="000842E3">
              <w:rPr>
                <w:rFonts w:ascii="Times New Roman" w:hAnsi="Times New Roman" w:cs="Times New Roman"/>
                <w:sz w:val="20"/>
                <w:szCs w:val="20"/>
                <w:lang w:val="fr-FR"/>
              </w:rPr>
              <w:t>Bilatéral officiel</w:t>
            </w:r>
          </w:p>
          <w:p w14:paraId="267329B5" w14:textId="77777777" w:rsidR="0028280C" w:rsidRPr="000842E3" w:rsidRDefault="0028280C" w:rsidP="00E43F48">
            <w:pPr>
              <w:spacing w:line="276" w:lineRule="auto"/>
              <w:jc w:val="both"/>
              <w:rPr>
                <w:rFonts w:ascii="Times New Roman" w:hAnsi="Times New Roman" w:cs="Times New Roman"/>
                <w:sz w:val="20"/>
                <w:szCs w:val="20"/>
                <w:lang w:val="fr-FR"/>
              </w:rPr>
            </w:pPr>
          </w:p>
          <w:p w14:paraId="2B13CA84" w14:textId="77777777" w:rsidR="0028280C" w:rsidRPr="000842E3" w:rsidRDefault="0028280C" w:rsidP="00E43F48">
            <w:pPr>
              <w:spacing w:line="276" w:lineRule="auto"/>
              <w:jc w:val="both"/>
              <w:rPr>
                <w:rFonts w:ascii="Times New Roman" w:hAnsi="Times New Roman" w:cs="Times New Roman"/>
                <w:sz w:val="20"/>
                <w:szCs w:val="20"/>
                <w:lang w:val="fr-FR"/>
              </w:rPr>
            </w:pPr>
          </w:p>
          <w:p w14:paraId="314CE18D" w14:textId="77777777" w:rsidR="0028280C" w:rsidRPr="000842E3" w:rsidRDefault="0028280C" w:rsidP="00E43F48">
            <w:pPr>
              <w:spacing w:line="276" w:lineRule="auto"/>
              <w:jc w:val="both"/>
              <w:rPr>
                <w:rFonts w:ascii="Times New Roman" w:hAnsi="Times New Roman" w:cs="Times New Roman"/>
                <w:sz w:val="20"/>
                <w:szCs w:val="20"/>
                <w:lang w:val="fr-FR"/>
              </w:rPr>
            </w:pPr>
          </w:p>
          <w:p w14:paraId="6D75AF84" w14:textId="77777777" w:rsidR="0028280C" w:rsidRPr="000842E3" w:rsidRDefault="0028280C" w:rsidP="00E43F48">
            <w:pPr>
              <w:spacing w:line="276" w:lineRule="auto"/>
              <w:jc w:val="both"/>
              <w:rPr>
                <w:rFonts w:ascii="Times New Roman" w:hAnsi="Times New Roman" w:cs="Times New Roman"/>
                <w:sz w:val="20"/>
                <w:szCs w:val="20"/>
                <w:lang w:val="fr-FR"/>
              </w:rPr>
            </w:pPr>
          </w:p>
          <w:p w14:paraId="56DB5E3A" w14:textId="77777777" w:rsidR="0028280C" w:rsidRPr="000842E3" w:rsidRDefault="0028280C" w:rsidP="00E43F48">
            <w:pPr>
              <w:spacing w:line="276" w:lineRule="auto"/>
              <w:jc w:val="both"/>
              <w:rPr>
                <w:rFonts w:ascii="Times New Roman" w:hAnsi="Times New Roman" w:cs="Times New Roman"/>
                <w:sz w:val="20"/>
                <w:szCs w:val="20"/>
                <w:lang w:val="fr-FR"/>
              </w:rPr>
            </w:pPr>
          </w:p>
          <w:p w14:paraId="38BAB9E7" w14:textId="77777777" w:rsidR="0028280C" w:rsidRPr="000842E3" w:rsidRDefault="0028280C" w:rsidP="00E43F48">
            <w:pPr>
              <w:spacing w:line="276" w:lineRule="auto"/>
              <w:jc w:val="both"/>
              <w:rPr>
                <w:rFonts w:ascii="Times New Roman" w:hAnsi="Times New Roman" w:cs="Times New Roman"/>
                <w:sz w:val="20"/>
                <w:szCs w:val="20"/>
                <w:lang w:val="fr-FR"/>
              </w:rPr>
            </w:pPr>
          </w:p>
          <w:p w14:paraId="6E7A9CCB" w14:textId="77777777" w:rsidR="0028280C" w:rsidRPr="000842E3" w:rsidRDefault="0028280C" w:rsidP="00E43F48">
            <w:pPr>
              <w:spacing w:line="276" w:lineRule="auto"/>
              <w:jc w:val="both"/>
              <w:rPr>
                <w:rFonts w:ascii="Times New Roman" w:hAnsi="Times New Roman" w:cs="Times New Roman"/>
                <w:sz w:val="20"/>
                <w:szCs w:val="20"/>
                <w:lang w:val="fr-FR"/>
              </w:rPr>
            </w:pPr>
          </w:p>
          <w:p w14:paraId="70DE1BB1" w14:textId="77777777" w:rsidR="0028280C" w:rsidRPr="000842E3" w:rsidRDefault="0028280C" w:rsidP="00E43F48">
            <w:pPr>
              <w:spacing w:line="276" w:lineRule="auto"/>
              <w:jc w:val="both"/>
              <w:rPr>
                <w:rFonts w:ascii="Times New Roman" w:hAnsi="Times New Roman" w:cs="Times New Roman"/>
                <w:sz w:val="20"/>
                <w:szCs w:val="20"/>
                <w:lang w:val="fr-FR"/>
              </w:rPr>
            </w:pPr>
          </w:p>
          <w:p w14:paraId="13D95090" w14:textId="77777777" w:rsidR="0028280C" w:rsidRPr="000842E3" w:rsidRDefault="0028280C" w:rsidP="00E43F48">
            <w:pPr>
              <w:spacing w:line="276" w:lineRule="auto"/>
              <w:jc w:val="both"/>
              <w:rPr>
                <w:rFonts w:ascii="Times New Roman" w:hAnsi="Times New Roman" w:cs="Times New Roman"/>
                <w:b w:val="0"/>
                <w:bCs w:val="0"/>
                <w:sz w:val="20"/>
                <w:szCs w:val="20"/>
                <w:lang w:val="fr-FR"/>
              </w:rPr>
            </w:pPr>
            <w:r w:rsidRPr="000842E3">
              <w:rPr>
                <w:rFonts w:ascii="Times New Roman" w:hAnsi="Times New Roman" w:cs="Times New Roman"/>
                <w:b w:val="0"/>
                <w:bCs w:val="0"/>
                <w:sz w:val="20"/>
                <w:szCs w:val="20"/>
                <w:lang w:val="fr-FR"/>
              </w:rPr>
              <w:t>Total bilatéral officiel</w:t>
            </w:r>
          </w:p>
        </w:tc>
        <w:tc>
          <w:tcPr>
            <w:tcW w:w="3601" w:type="dxa"/>
          </w:tcPr>
          <w:p w14:paraId="12F45026"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fr-FR"/>
              </w:rPr>
            </w:pPr>
            <w:r w:rsidRPr="000842E3">
              <w:rPr>
                <w:rFonts w:ascii="Times New Roman" w:hAnsi="Times New Roman" w:cs="Times New Roman"/>
                <w:sz w:val="20"/>
                <w:szCs w:val="20"/>
                <w:lang w:val="fr-FR"/>
              </w:rPr>
              <w:t>la Belgique</w:t>
            </w:r>
          </w:p>
          <w:p w14:paraId="41B37F3F"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fr-FR"/>
              </w:rPr>
            </w:pPr>
            <w:r w:rsidRPr="000842E3">
              <w:rPr>
                <w:rFonts w:ascii="Times New Roman" w:hAnsi="Times New Roman" w:cs="Times New Roman"/>
                <w:sz w:val="20"/>
                <w:szCs w:val="20"/>
                <w:lang w:val="fr-FR"/>
              </w:rPr>
              <w:t>Chine</w:t>
            </w:r>
          </w:p>
          <w:p w14:paraId="1E256BA1"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fr-FR"/>
              </w:rPr>
            </w:pPr>
            <w:r w:rsidRPr="000842E3">
              <w:rPr>
                <w:rFonts w:ascii="Times New Roman" w:hAnsi="Times New Roman" w:cs="Times New Roman"/>
                <w:sz w:val="20"/>
                <w:szCs w:val="20"/>
                <w:lang w:val="fr-FR"/>
              </w:rPr>
              <w:t>La France</w:t>
            </w:r>
          </w:p>
          <w:p w14:paraId="1C9ECDDE"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fr-FR"/>
              </w:rPr>
            </w:pPr>
            <w:r w:rsidRPr="000842E3">
              <w:rPr>
                <w:rFonts w:ascii="Times New Roman" w:hAnsi="Times New Roman" w:cs="Times New Roman"/>
                <w:sz w:val="20"/>
                <w:szCs w:val="20"/>
                <w:lang w:val="fr-FR"/>
              </w:rPr>
              <w:t>Inde</w:t>
            </w:r>
          </w:p>
          <w:p w14:paraId="134C70FA"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fr-FR"/>
              </w:rPr>
            </w:pPr>
            <w:r w:rsidRPr="000842E3">
              <w:rPr>
                <w:rFonts w:ascii="Times New Roman" w:hAnsi="Times New Roman" w:cs="Times New Roman"/>
                <w:sz w:val="20"/>
                <w:szCs w:val="20"/>
                <w:lang w:val="fr-FR"/>
              </w:rPr>
              <w:t>Koweit</w:t>
            </w:r>
          </w:p>
          <w:p w14:paraId="7696EA8D"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fr-FR"/>
              </w:rPr>
            </w:pPr>
            <w:r w:rsidRPr="000842E3">
              <w:rPr>
                <w:rFonts w:ascii="Times New Roman" w:hAnsi="Times New Roman" w:cs="Times New Roman"/>
                <w:sz w:val="20"/>
                <w:szCs w:val="20"/>
                <w:lang w:val="fr-FR"/>
              </w:rPr>
              <w:t>Libye</w:t>
            </w:r>
          </w:p>
          <w:p w14:paraId="16B12B38"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fr-FR"/>
              </w:rPr>
            </w:pPr>
            <w:r w:rsidRPr="000842E3">
              <w:rPr>
                <w:rFonts w:ascii="Times New Roman" w:hAnsi="Times New Roman" w:cs="Times New Roman"/>
                <w:sz w:val="20"/>
                <w:szCs w:val="20"/>
                <w:lang w:val="fr-FR"/>
              </w:rPr>
              <w:t>Arabie Saoudite</w:t>
            </w:r>
          </w:p>
          <w:p w14:paraId="25D3D0E5"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fr-FR"/>
              </w:rPr>
            </w:pPr>
            <w:r w:rsidRPr="000842E3">
              <w:rPr>
                <w:rFonts w:ascii="Times New Roman" w:hAnsi="Times New Roman" w:cs="Times New Roman"/>
                <w:sz w:val="20"/>
                <w:szCs w:val="20"/>
                <w:lang w:val="fr-FR"/>
              </w:rPr>
              <w:t>Emirats Arabes Unis</w:t>
            </w:r>
          </w:p>
          <w:p w14:paraId="4A01BAF5"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842E3">
              <w:rPr>
                <w:rFonts w:ascii="Times New Roman" w:hAnsi="Times New Roman" w:cs="Times New Roman"/>
                <w:sz w:val="20"/>
                <w:szCs w:val="20"/>
                <w:lang w:val="en-US"/>
              </w:rPr>
              <w:t>Autre</w:t>
            </w:r>
            <w:r>
              <w:rPr>
                <w:rFonts w:ascii="Times New Roman" w:hAnsi="Times New Roman" w:cs="Times New Roman"/>
                <w:sz w:val="20"/>
                <w:szCs w:val="20"/>
                <w:lang w:val="en-US"/>
              </w:rPr>
              <w:t>s</w:t>
            </w:r>
            <w:r w:rsidRPr="000842E3">
              <w:rPr>
                <w:rFonts w:ascii="Times New Roman" w:hAnsi="Times New Roman" w:cs="Times New Roman"/>
                <w:sz w:val="20"/>
                <w:szCs w:val="20"/>
                <w:lang w:val="en-US"/>
              </w:rPr>
              <w:t xml:space="preserve"> </w:t>
            </w:r>
            <w:r>
              <w:rPr>
                <w:rFonts w:ascii="Times New Roman" w:hAnsi="Times New Roman" w:cs="Times New Roman"/>
                <w:sz w:val="20"/>
                <w:szCs w:val="20"/>
                <w:lang w:val="en-US"/>
              </w:rPr>
              <w:t>bilatéraux</w:t>
            </w:r>
          </w:p>
          <w:p w14:paraId="3F6E13B5"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3004" w:type="dxa"/>
          </w:tcPr>
          <w:p w14:paraId="7CF6E443"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842E3">
              <w:rPr>
                <w:rFonts w:ascii="Times New Roman" w:hAnsi="Times New Roman" w:cs="Times New Roman"/>
                <w:sz w:val="20"/>
                <w:szCs w:val="20"/>
                <w:lang w:val="en-US"/>
              </w:rPr>
              <w:t>19 627</w:t>
            </w:r>
          </w:p>
          <w:p w14:paraId="269FD28E"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842E3">
              <w:rPr>
                <w:rFonts w:ascii="Times New Roman" w:hAnsi="Times New Roman" w:cs="Times New Roman"/>
                <w:sz w:val="20"/>
                <w:szCs w:val="20"/>
                <w:lang w:val="en-US"/>
              </w:rPr>
              <w:t>335 073</w:t>
            </w:r>
          </w:p>
          <w:p w14:paraId="5C5D60EF"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842E3">
              <w:rPr>
                <w:rFonts w:ascii="Times New Roman" w:hAnsi="Times New Roman" w:cs="Times New Roman"/>
                <w:sz w:val="20"/>
                <w:szCs w:val="20"/>
                <w:lang w:val="en-US"/>
              </w:rPr>
              <w:t>110 195</w:t>
            </w:r>
          </w:p>
          <w:p w14:paraId="055C9861"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842E3">
              <w:rPr>
                <w:rFonts w:ascii="Times New Roman" w:hAnsi="Times New Roman" w:cs="Times New Roman"/>
                <w:sz w:val="20"/>
                <w:szCs w:val="20"/>
                <w:lang w:val="en-US"/>
              </w:rPr>
              <w:t>65 187</w:t>
            </w:r>
          </w:p>
          <w:p w14:paraId="4C4E75C3"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842E3">
              <w:rPr>
                <w:rFonts w:ascii="Times New Roman" w:hAnsi="Times New Roman" w:cs="Times New Roman"/>
                <w:sz w:val="20"/>
                <w:szCs w:val="20"/>
                <w:lang w:val="en-US"/>
              </w:rPr>
              <w:t>36 793</w:t>
            </w:r>
          </w:p>
          <w:p w14:paraId="7908A057"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842E3">
              <w:rPr>
                <w:rFonts w:ascii="Times New Roman" w:hAnsi="Times New Roman" w:cs="Times New Roman"/>
                <w:sz w:val="20"/>
                <w:szCs w:val="20"/>
                <w:lang w:val="en-US"/>
              </w:rPr>
              <w:t>16 000</w:t>
            </w:r>
          </w:p>
          <w:p w14:paraId="5AFC1607"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842E3">
              <w:rPr>
                <w:rFonts w:ascii="Times New Roman" w:hAnsi="Times New Roman" w:cs="Times New Roman"/>
                <w:sz w:val="20"/>
                <w:szCs w:val="20"/>
                <w:lang w:val="en-US"/>
              </w:rPr>
              <w:t>67 385</w:t>
            </w:r>
          </w:p>
          <w:p w14:paraId="13E5DE17"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842E3">
              <w:rPr>
                <w:rFonts w:ascii="Times New Roman" w:hAnsi="Times New Roman" w:cs="Times New Roman"/>
                <w:sz w:val="20"/>
                <w:szCs w:val="20"/>
                <w:lang w:val="en-US"/>
              </w:rPr>
              <w:t>5 571</w:t>
            </w:r>
          </w:p>
          <w:p w14:paraId="7485E022"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842E3">
              <w:rPr>
                <w:rFonts w:ascii="Times New Roman" w:hAnsi="Times New Roman" w:cs="Times New Roman"/>
                <w:sz w:val="20"/>
                <w:szCs w:val="20"/>
                <w:lang w:val="en-US"/>
              </w:rPr>
              <w:t>55 191</w:t>
            </w:r>
          </w:p>
          <w:p w14:paraId="4EF47901"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lang w:val="en-US"/>
              </w:rPr>
            </w:pPr>
            <w:r w:rsidRPr="000842E3">
              <w:rPr>
                <w:rFonts w:ascii="Times New Roman" w:hAnsi="Times New Roman" w:cs="Times New Roman"/>
                <w:b/>
                <w:bCs/>
                <w:sz w:val="20"/>
                <w:szCs w:val="20"/>
                <w:lang w:val="en-US"/>
              </w:rPr>
              <w:t>711 021</w:t>
            </w:r>
          </w:p>
        </w:tc>
      </w:tr>
      <w:tr w:rsidR="0028280C" w:rsidRPr="00CE1278" w14:paraId="35C24146" w14:textId="77777777" w:rsidTr="00E43F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1E636595" w14:textId="77777777" w:rsidR="0028280C" w:rsidRPr="000842E3" w:rsidRDefault="0028280C" w:rsidP="00E43F48">
            <w:pPr>
              <w:spacing w:line="276" w:lineRule="auto"/>
              <w:jc w:val="both"/>
              <w:rPr>
                <w:rFonts w:ascii="Times New Roman" w:hAnsi="Times New Roman" w:cs="Times New Roman"/>
                <w:sz w:val="20"/>
                <w:szCs w:val="20"/>
                <w:lang w:val="en-US"/>
              </w:rPr>
            </w:pPr>
            <w:r w:rsidRPr="000842E3">
              <w:rPr>
                <w:rFonts w:ascii="Times New Roman" w:hAnsi="Times New Roman" w:cs="Times New Roman"/>
                <w:sz w:val="20"/>
                <w:szCs w:val="20"/>
                <w:lang w:val="en-US"/>
              </w:rPr>
              <w:t>Total des porteurs d'obligations</w:t>
            </w:r>
          </w:p>
        </w:tc>
        <w:tc>
          <w:tcPr>
            <w:tcW w:w="3601" w:type="dxa"/>
          </w:tcPr>
          <w:p w14:paraId="663CD17B" w14:textId="77777777" w:rsidR="0028280C" w:rsidRPr="000842E3" w:rsidRDefault="0028280C" w:rsidP="00E43F48">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p>
        </w:tc>
        <w:tc>
          <w:tcPr>
            <w:tcW w:w="3004" w:type="dxa"/>
          </w:tcPr>
          <w:p w14:paraId="463D390B" w14:textId="77777777" w:rsidR="0028280C" w:rsidRPr="000842E3" w:rsidRDefault="0028280C" w:rsidP="00E43F48">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0842E3">
              <w:rPr>
                <w:rFonts w:ascii="Times New Roman" w:hAnsi="Times New Roman" w:cs="Times New Roman"/>
                <w:sz w:val="20"/>
                <w:szCs w:val="20"/>
                <w:lang w:val="en-US"/>
              </w:rPr>
              <w:t>0</w:t>
            </w:r>
          </w:p>
        </w:tc>
      </w:tr>
      <w:tr w:rsidR="0028280C" w:rsidRPr="00CE1278" w14:paraId="09321289" w14:textId="77777777" w:rsidTr="00E43F48">
        <w:tc>
          <w:tcPr>
            <w:cnfStyle w:val="001000000000" w:firstRow="0" w:lastRow="0" w:firstColumn="1" w:lastColumn="0" w:oddVBand="0" w:evenVBand="0" w:oddHBand="0" w:evenHBand="0" w:firstRowFirstColumn="0" w:firstRowLastColumn="0" w:lastRowFirstColumn="0" w:lastRowLastColumn="0"/>
            <w:tcW w:w="2405" w:type="dxa"/>
          </w:tcPr>
          <w:p w14:paraId="784EF1F1" w14:textId="77777777" w:rsidR="0028280C" w:rsidRPr="000842E3" w:rsidRDefault="0028280C" w:rsidP="00E43F48">
            <w:pPr>
              <w:spacing w:line="276" w:lineRule="auto"/>
              <w:jc w:val="both"/>
              <w:rPr>
                <w:rFonts w:ascii="Times New Roman" w:hAnsi="Times New Roman" w:cs="Times New Roman"/>
                <w:sz w:val="20"/>
                <w:szCs w:val="20"/>
                <w:lang w:val="en-US"/>
              </w:rPr>
            </w:pPr>
            <w:r w:rsidRPr="000842E3">
              <w:rPr>
                <w:rFonts w:ascii="Times New Roman" w:hAnsi="Times New Roman" w:cs="Times New Roman"/>
                <w:sz w:val="20"/>
                <w:szCs w:val="20"/>
                <w:lang w:val="en-US"/>
              </w:rPr>
              <w:t>Dette extérieure totale</w:t>
            </w:r>
          </w:p>
        </w:tc>
        <w:tc>
          <w:tcPr>
            <w:tcW w:w="3601" w:type="dxa"/>
          </w:tcPr>
          <w:p w14:paraId="07A4B0C0"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3004" w:type="dxa"/>
          </w:tcPr>
          <w:p w14:paraId="541D7583" w14:textId="77777777" w:rsidR="0028280C" w:rsidRPr="000842E3" w:rsidRDefault="0028280C" w:rsidP="00E43F48">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lang w:val="en-US"/>
              </w:rPr>
            </w:pPr>
            <w:r w:rsidRPr="000842E3">
              <w:rPr>
                <w:rFonts w:ascii="Times New Roman" w:hAnsi="Times New Roman" w:cs="Times New Roman"/>
                <w:b/>
                <w:bCs/>
                <w:sz w:val="20"/>
                <w:szCs w:val="20"/>
                <w:lang w:val="en-US"/>
              </w:rPr>
              <w:t>3 512 866</w:t>
            </w:r>
          </w:p>
        </w:tc>
      </w:tr>
    </w:tbl>
    <w:p w14:paraId="60FDD37B" w14:textId="77777777" w:rsidR="0028280C" w:rsidRPr="0058697B" w:rsidRDefault="0028280C" w:rsidP="0028280C">
      <w:pPr>
        <w:spacing w:line="276" w:lineRule="auto"/>
        <w:jc w:val="both"/>
        <w:rPr>
          <w:rFonts w:ascii="Times New Roman" w:hAnsi="Times New Roman" w:cs="Times New Roman"/>
          <w:b/>
          <w:bCs/>
        </w:rPr>
      </w:pPr>
      <w:r w:rsidRPr="000842E3">
        <w:rPr>
          <w:rFonts w:ascii="Times New Roman" w:hAnsi="Times New Roman" w:cs="Times New Roman"/>
          <w:b/>
          <w:bCs/>
        </w:rPr>
        <w:t>Source : Banque mondiale, Statistiques de la dette internationale</w:t>
      </w:r>
    </w:p>
    <w:p w14:paraId="04A6FAFE" w14:textId="77777777" w:rsidR="0028280C" w:rsidRPr="00E25B1F" w:rsidRDefault="0028280C" w:rsidP="00E25B1F">
      <w:pPr>
        <w:pStyle w:val="Titre1"/>
        <w:rPr>
          <w:rFonts w:ascii="Bernard MT Condensed" w:hAnsi="Bernard MT Condensed"/>
          <w:sz w:val="28"/>
          <w:szCs w:val="28"/>
        </w:rPr>
      </w:pPr>
      <w:bookmarkStart w:id="384" w:name="_Toc86687761"/>
      <w:bookmarkStart w:id="385" w:name="_Toc89479443"/>
      <w:bookmarkStart w:id="386" w:name="_Toc89480941"/>
      <w:bookmarkStart w:id="387" w:name="_Toc94480183"/>
      <w:bookmarkStart w:id="388" w:name="_Toc94481844"/>
      <w:bookmarkStart w:id="389" w:name="_Toc94482107"/>
      <w:bookmarkStart w:id="390" w:name="_Toc84789694"/>
      <w:r w:rsidRPr="00E25B1F">
        <w:rPr>
          <w:rFonts w:ascii="Bernard MT Condensed" w:hAnsi="Bernard MT Condensed"/>
          <w:sz w:val="28"/>
          <w:szCs w:val="28"/>
        </w:rPr>
        <w:t>V - Droits humains et genre</w:t>
      </w:r>
      <w:bookmarkEnd w:id="384"/>
      <w:bookmarkEnd w:id="385"/>
      <w:bookmarkEnd w:id="386"/>
      <w:bookmarkEnd w:id="387"/>
      <w:bookmarkEnd w:id="388"/>
      <w:bookmarkEnd w:id="389"/>
      <w:r w:rsidRPr="00E25B1F">
        <w:rPr>
          <w:rFonts w:ascii="Bernard MT Condensed" w:hAnsi="Bernard MT Condensed"/>
          <w:sz w:val="28"/>
          <w:szCs w:val="28"/>
        </w:rPr>
        <w:t xml:space="preserve"> </w:t>
      </w:r>
      <w:bookmarkEnd w:id="390"/>
    </w:p>
    <w:p w14:paraId="14F78591" w14:textId="77777777" w:rsidR="0028280C" w:rsidRPr="00E25B1F" w:rsidRDefault="0028280C" w:rsidP="00E25B1F">
      <w:pPr>
        <w:pStyle w:val="Titre2"/>
        <w:rPr>
          <w:rFonts w:ascii="Bernard MT Condensed" w:hAnsi="Bernard MT Condensed"/>
          <w:sz w:val="24"/>
          <w:szCs w:val="24"/>
        </w:rPr>
      </w:pPr>
      <w:bookmarkStart w:id="391" w:name="_Toc84789695"/>
      <w:bookmarkStart w:id="392" w:name="_Toc86687762"/>
      <w:bookmarkStart w:id="393" w:name="_Toc89479444"/>
      <w:bookmarkStart w:id="394" w:name="_Toc89480942"/>
      <w:bookmarkStart w:id="395" w:name="_Toc94480184"/>
      <w:bookmarkStart w:id="396" w:name="_Toc94481845"/>
      <w:bookmarkStart w:id="397" w:name="_Toc94482108"/>
      <w:r w:rsidRPr="00E25B1F">
        <w:rPr>
          <w:rFonts w:ascii="Bernard MT Condensed" w:hAnsi="Bernard MT Condensed"/>
          <w:sz w:val="24"/>
          <w:szCs w:val="24"/>
        </w:rPr>
        <w:t>V.1 - Droits humains</w:t>
      </w:r>
      <w:bookmarkEnd w:id="391"/>
      <w:bookmarkEnd w:id="392"/>
      <w:bookmarkEnd w:id="393"/>
      <w:bookmarkEnd w:id="394"/>
      <w:bookmarkEnd w:id="395"/>
      <w:bookmarkEnd w:id="396"/>
      <w:bookmarkEnd w:id="397"/>
    </w:p>
    <w:p w14:paraId="76CBD45A" w14:textId="305101DF" w:rsidR="0028280C" w:rsidRDefault="0028280C" w:rsidP="0028280C">
      <w:pPr>
        <w:spacing w:line="240" w:lineRule="auto"/>
        <w:jc w:val="both"/>
        <w:rPr>
          <w:rFonts w:ascii="Times New Roman" w:hAnsi="Times New Roman" w:cs="Times New Roman"/>
          <w:color w:val="000000" w:themeColor="text1"/>
        </w:rPr>
      </w:pPr>
      <w:r w:rsidRPr="00C56D46">
        <w:rPr>
          <w:rFonts w:ascii="Times New Roman" w:hAnsi="Times New Roman" w:cs="Times New Roman"/>
          <w:b/>
          <w:i/>
          <w:color w:val="000000" w:themeColor="text1"/>
        </w:rPr>
        <w:t>Le Niger a ratifié la totalité des principales conventions et traités internationaux en matière des droits de l’homme</w:t>
      </w:r>
      <w:r w:rsidRPr="00BF4CDD">
        <w:rPr>
          <w:rStyle w:val="Appelnotedebasdep"/>
          <w:rFonts w:ascii="Times New Roman" w:hAnsi="Times New Roman" w:cs="Times New Roman"/>
          <w:color w:val="000000" w:themeColor="text1"/>
        </w:rPr>
        <w:footnoteReference w:id="122"/>
      </w:r>
      <w:r w:rsidRPr="00BF4CDD">
        <w:rPr>
          <w:rFonts w:ascii="Times New Roman" w:hAnsi="Times New Roman" w:cs="Times New Roman"/>
          <w:color w:val="000000" w:themeColor="text1"/>
        </w:rPr>
        <w:t xml:space="preserve">. </w:t>
      </w:r>
      <w:r w:rsidR="007554AD">
        <w:rPr>
          <w:rFonts w:ascii="Times New Roman" w:hAnsi="Times New Roman" w:cs="Times New Roman"/>
          <w:color w:val="000000" w:themeColor="text1"/>
        </w:rPr>
        <w:t>Précisément, d</w:t>
      </w:r>
      <w:r w:rsidRPr="005743EB">
        <w:rPr>
          <w:rFonts w:ascii="Times New Roman" w:hAnsi="Times New Roman" w:cs="Times New Roman"/>
          <w:color w:val="000000" w:themeColor="text1"/>
        </w:rPr>
        <w:t>epuis 2016</w:t>
      </w:r>
      <w:r w:rsidR="007554AD">
        <w:rPr>
          <w:rFonts w:ascii="Times New Roman" w:hAnsi="Times New Roman" w:cs="Times New Roman"/>
          <w:color w:val="000000" w:themeColor="text1"/>
        </w:rPr>
        <w:t>,</w:t>
      </w:r>
      <w:r w:rsidRPr="005743EB">
        <w:rPr>
          <w:rFonts w:ascii="Times New Roman" w:hAnsi="Times New Roman" w:cs="Times New Roman"/>
          <w:color w:val="000000" w:themeColor="text1"/>
        </w:rPr>
        <w:t xml:space="preserve"> </w:t>
      </w:r>
      <w:r w:rsidR="007554AD">
        <w:rPr>
          <w:rFonts w:ascii="Times New Roman" w:hAnsi="Times New Roman" w:cs="Times New Roman"/>
          <w:color w:val="000000" w:themeColor="text1"/>
        </w:rPr>
        <w:t xml:space="preserve">le Niger a </w:t>
      </w:r>
      <w:r w:rsidRPr="005743EB">
        <w:rPr>
          <w:rFonts w:ascii="Times New Roman" w:hAnsi="Times New Roman" w:cs="Times New Roman"/>
          <w:color w:val="000000" w:themeColor="text1"/>
        </w:rPr>
        <w:t xml:space="preserve">ratifié plus d’une vingtaine d’instruments juridiques internationaux relatifs aux droits de l’homme et au bien-être général des populations, parmi lesquels les Amendements au Statut de Rome de la Cour pénale internationale relatifs au crime d’agression (amendements de Kampala), la Convention sur la protection des enfants et la coopération en matière d’adoption internationale, la Convention sur l’imprescriptibilité des crimes de guerre et des crimes contre l’humanité, ainsi que la Convention de 1964 sur la politique de l’emploi (no 122), la </w:t>
      </w:r>
      <w:r w:rsidRPr="005743EB">
        <w:rPr>
          <w:rFonts w:ascii="Times New Roman" w:hAnsi="Times New Roman" w:cs="Times New Roman"/>
          <w:color w:val="000000" w:themeColor="text1"/>
        </w:rPr>
        <w:lastRenderedPageBreak/>
        <w:t xml:space="preserve">Convention de 1976 sur les consultations tripartites relatives aux normes internationales du travail (no 144) et la Convention de 2000 sur la protection de la maternité (no 183) de l’Organisation internationale </w:t>
      </w:r>
      <w:r>
        <w:rPr>
          <w:rFonts w:ascii="Times New Roman" w:hAnsi="Times New Roman" w:cs="Times New Roman"/>
          <w:color w:val="000000" w:themeColor="text1"/>
        </w:rPr>
        <w:t>du Travail (OIT).</w:t>
      </w:r>
    </w:p>
    <w:p w14:paraId="049E883F" w14:textId="77777777" w:rsidR="0028280C" w:rsidRDefault="0028280C" w:rsidP="0028280C">
      <w:pPr>
        <w:spacing w:line="240" w:lineRule="auto"/>
        <w:jc w:val="both"/>
        <w:rPr>
          <w:rFonts w:ascii="Times New Roman" w:hAnsi="Times New Roman" w:cs="Times New Roman"/>
          <w:color w:val="000000" w:themeColor="text1"/>
        </w:rPr>
      </w:pPr>
      <w:r w:rsidRPr="00C56D46">
        <w:rPr>
          <w:rFonts w:ascii="Times New Roman" w:hAnsi="Times New Roman" w:cs="Times New Roman"/>
          <w:b/>
          <w:i/>
          <w:color w:val="000000" w:themeColor="text1"/>
        </w:rPr>
        <w:t>Sur le plan interne, plus de 80 textes législatifs et réglementaires ont été adoptés dans divers domaines</w:t>
      </w:r>
      <w:r w:rsidRPr="00C56D46">
        <w:rPr>
          <w:rFonts w:ascii="Times New Roman" w:hAnsi="Times New Roman" w:cs="Times New Roman"/>
          <w:i/>
          <w:color w:val="000000" w:themeColor="text1"/>
        </w:rPr>
        <w:t>,</w:t>
      </w:r>
      <w:r w:rsidRPr="005743EB">
        <w:rPr>
          <w:rFonts w:ascii="Times New Roman" w:hAnsi="Times New Roman" w:cs="Times New Roman"/>
          <w:color w:val="000000" w:themeColor="text1"/>
        </w:rPr>
        <w:t xml:space="preserve"> soit pour intégrer les dispositions des instruments juridiques internationaux dans l’ordre juridique interne, soit pour adapter les textes existants aux</w:t>
      </w:r>
      <w:r>
        <w:rPr>
          <w:rFonts w:ascii="Times New Roman" w:hAnsi="Times New Roman" w:cs="Times New Roman"/>
          <w:color w:val="000000" w:themeColor="text1"/>
        </w:rPr>
        <w:t xml:space="preserve"> </w:t>
      </w:r>
      <w:r w:rsidRPr="005743EB">
        <w:rPr>
          <w:rFonts w:ascii="Times New Roman" w:hAnsi="Times New Roman" w:cs="Times New Roman"/>
          <w:color w:val="000000" w:themeColor="text1"/>
        </w:rPr>
        <w:t>circonstances et autres évolutions nouvelles, en vue d’assurer le bien-être, la quiétude et la sécurité des populations.</w:t>
      </w:r>
      <w:r w:rsidRPr="005743EB">
        <w:t xml:space="preserve"> </w:t>
      </w:r>
      <w:r>
        <w:t>L</w:t>
      </w:r>
      <w:r w:rsidRPr="005743EB">
        <w:rPr>
          <w:rFonts w:ascii="Times New Roman" w:hAnsi="Times New Roman" w:cs="Times New Roman"/>
          <w:color w:val="000000" w:themeColor="text1"/>
        </w:rPr>
        <w:t xml:space="preserve">e Niger </w:t>
      </w:r>
      <w:r>
        <w:rPr>
          <w:rFonts w:ascii="Times New Roman" w:hAnsi="Times New Roman" w:cs="Times New Roman"/>
          <w:color w:val="000000" w:themeColor="text1"/>
        </w:rPr>
        <w:t xml:space="preserve">a </w:t>
      </w:r>
      <w:r w:rsidRPr="005743EB">
        <w:rPr>
          <w:rFonts w:ascii="Times New Roman" w:hAnsi="Times New Roman" w:cs="Times New Roman"/>
          <w:color w:val="000000" w:themeColor="text1"/>
        </w:rPr>
        <w:t xml:space="preserve">adopté plusieurs politiques, programmes et stratégies assortis de plans d’action, </w:t>
      </w:r>
      <w:r>
        <w:rPr>
          <w:rFonts w:ascii="Times New Roman" w:hAnsi="Times New Roman" w:cs="Times New Roman"/>
          <w:color w:val="000000" w:themeColor="text1"/>
        </w:rPr>
        <w:t>permettant au pays de</w:t>
      </w:r>
      <w:r w:rsidRPr="005743EB">
        <w:rPr>
          <w:rFonts w:ascii="Times New Roman" w:hAnsi="Times New Roman" w:cs="Times New Roman"/>
          <w:color w:val="000000" w:themeColor="text1"/>
        </w:rPr>
        <w:t xml:space="preserve"> gagner plus de 10 points en matière de développement et </w:t>
      </w:r>
      <w:r>
        <w:rPr>
          <w:rFonts w:ascii="Times New Roman" w:hAnsi="Times New Roman" w:cs="Times New Roman"/>
          <w:color w:val="000000" w:themeColor="text1"/>
        </w:rPr>
        <w:t>de</w:t>
      </w:r>
      <w:r w:rsidRPr="005743EB">
        <w:rPr>
          <w:rFonts w:ascii="Times New Roman" w:hAnsi="Times New Roman" w:cs="Times New Roman"/>
          <w:color w:val="000000" w:themeColor="text1"/>
        </w:rPr>
        <w:t xml:space="preserve"> réduire le taux de pauvreté de 48 % en 2014 à 40,2 % en 2019. </w:t>
      </w:r>
      <w:r>
        <w:rPr>
          <w:rFonts w:ascii="Times New Roman" w:hAnsi="Times New Roman" w:cs="Times New Roman"/>
          <w:color w:val="000000" w:themeColor="text1"/>
        </w:rPr>
        <w:t xml:space="preserve">Il faut notamment noter l’adoption d’une </w:t>
      </w:r>
      <w:r w:rsidRPr="007C3505">
        <w:rPr>
          <w:rFonts w:ascii="Times New Roman" w:hAnsi="Times New Roman" w:cs="Times New Roman"/>
          <w:color w:val="000000" w:themeColor="text1"/>
        </w:rPr>
        <w:t>Stratégie nationale de prévention et de réponse aux v</w:t>
      </w:r>
      <w:r>
        <w:rPr>
          <w:rFonts w:ascii="Times New Roman" w:hAnsi="Times New Roman" w:cs="Times New Roman"/>
          <w:color w:val="000000" w:themeColor="text1"/>
        </w:rPr>
        <w:t>iolences basées sur le genre, du</w:t>
      </w:r>
      <w:r w:rsidRPr="007C3505">
        <w:rPr>
          <w:rFonts w:ascii="Times New Roman" w:hAnsi="Times New Roman" w:cs="Times New Roman"/>
          <w:color w:val="000000" w:themeColor="text1"/>
        </w:rPr>
        <w:t xml:space="preserve"> Plan d’action national de lutte co</w:t>
      </w:r>
      <w:r>
        <w:rPr>
          <w:rFonts w:ascii="Times New Roman" w:hAnsi="Times New Roman" w:cs="Times New Roman"/>
          <w:color w:val="000000" w:themeColor="text1"/>
        </w:rPr>
        <w:t xml:space="preserve">ntre le travail des enfants, </w:t>
      </w:r>
      <w:r w:rsidRPr="00401DFE">
        <w:rPr>
          <w:rFonts w:ascii="Times New Roman" w:hAnsi="Times New Roman" w:cs="Times New Roman"/>
          <w:color w:val="000000" w:themeColor="text1"/>
        </w:rPr>
        <w:t xml:space="preserve">de la nouvelle Politique nationale de genre, </w:t>
      </w:r>
      <w:r>
        <w:rPr>
          <w:rFonts w:ascii="Times New Roman" w:hAnsi="Times New Roman" w:cs="Times New Roman"/>
          <w:color w:val="000000" w:themeColor="text1"/>
        </w:rPr>
        <w:t>et</w:t>
      </w:r>
      <w:r w:rsidRPr="00401DFE">
        <w:rPr>
          <w:rFonts w:ascii="Times New Roman" w:hAnsi="Times New Roman" w:cs="Times New Roman"/>
          <w:color w:val="000000" w:themeColor="text1"/>
        </w:rPr>
        <w:t xml:space="preserve"> du décret du 5 décembre 2017 portant sur la protection, le soutien et l’accompagnement de la jeune fille en cours de scolarité</w:t>
      </w:r>
      <w:r>
        <w:rPr>
          <w:rFonts w:ascii="Times New Roman" w:hAnsi="Times New Roman" w:cs="Times New Roman"/>
          <w:color w:val="000000" w:themeColor="text1"/>
        </w:rPr>
        <w:t xml:space="preserve">. Il faut également noter les efforts de </w:t>
      </w:r>
      <w:r w:rsidRPr="00B91DD2">
        <w:rPr>
          <w:rFonts w:ascii="Times New Roman" w:hAnsi="Times New Roman" w:cs="Times New Roman"/>
          <w:color w:val="000000" w:themeColor="text1"/>
        </w:rPr>
        <w:t xml:space="preserve">mise en œuvre du plan d’action national de lutte contre l’esclavage et les pratiques analogues (2019-2021) </w:t>
      </w:r>
      <w:r>
        <w:rPr>
          <w:rFonts w:ascii="Times New Roman" w:hAnsi="Times New Roman" w:cs="Times New Roman"/>
          <w:color w:val="000000" w:themeColor="text1"/>
        </w:rPr>
        <w:t>en vue de faire</w:t>
      </w:r>
      <w:r w:rsidRPr="00B91DD2">
        <w:rPr>
          <w:rFonts w:ascii="Times New Roman" w:hAnsi="Times New Roman" w:cs="Times New Roman"/>
          <w:color w:val="000000" w:themeColor="text1"/>
        </w:rPr>
        <w:t xml:space="preserve"> reculer la pratique traditionnelle de l’esclavage au sei</w:t>
      </w:r>
      <w:r>
        <w:rPr>
          <w:rFonts w:ascii="Times New Roman" w:hAnsi="Times New Roman" w:cs="Times New Roman"/>
          <w:color w:val="000000" w:themeColor="text1"/>
        </w:rPr>
        <w:t>n de certains groupes ethniques, ainsi que des efforts engagés dans</w:t>
      </w:r>
      <w:r w:rsidRPr="00B91DD2">
        <w:rPr>
          <w:rFonts w:ascii="Times New Roman" w:hAnsi="Times New Roman" w:cs="Times New Roman"/>
          <w:color w:val="000000" w:themeColor="text1"/>
        </w:rPr>
        <w:t xml:space="preserve"> la lutte contre la traite des êtres humains et le trafic illicite de migrants</w:t>
      </w:r>
      <w:r>
        <w:rPr>
          <w:rFonts w:ascii="Times New Roman" w:hAnsi="Times New Roman" w:cs="Times New Roman"/>
          <w:color w:val="000000" w:themeColor="text1"/>
        </w:rPr>
        <w:t>.</w:t>
      </w:r>
    </w:p>
    <w:p w14:paraId="50DD7CA0" w14:textId="6E28E171" w:rsidR="0028280C" w:rsidRPr="00401DFE" w:rsidRDefault="0028280C" w:rsidP="0028280C">
      <w:pPr>
        <w:pStyle w:val="NormalWeb"/>
        <w:jc w:val="both"/>
        <w:rPr>
          <w:sz w:val="22"/>
          <w:szCs w:val="22"/>
        </w:rPr>
      </w:pPr>
      <w:r w:rsidRPr="00401DFE">
        <w:rPr>
          <w:color w:val="000000" w:themeColor="text1"/>
          <w:sz w:val="22"/>
          <w:szCs w:val="22"/>
        </w:rPr>
        <w:t xml:space="preserve">Concernant </w:t>
      </w:r>
      <w:r w:rsidRPr="00C56D46">
        <w:rPr>
          <w:b/>
          <w:i/>
          <w:color w:val="000000" w:themeColor="text1"/>
          <w:sz w:val="22"/>
          <w:szCs w:val="22"/>
        </w:rPr>
        <w:t>le renforcement des institutions</w:t>
      </w:r>
      <w:r w:rsidRPr="00C56D46">
        <w:rPr>
          <w:i/>
          <w:color w:val="000000" w:themeColor="text1"/>
          <w:sz w:val="22"/>
          <w:szCs w:val="22"/>
        </w:rPr>
        <w:t xml:space="preserve">, </w:t>
      </w:r>
      <w:r w:rsidRPr="00C56D46">
        <w:rPr>
          <w:b/>
          <w:i/>
          <w:color w:val="000000" w:themeColor="text1"/>
          <w:sz w:val="22"/>
          <w:szCs w:val="22"/>
        </w:rPr>
        <w:t>la Commission nationale des droits humains (CNDH)</w:t>
      </w:r>
      <w:r w:rsidRPr="00401DFE">
        <w:rPr>
          <w:color w:val="000000" w:themeColor="text1"/>
          <w:sz w:val="22"/>
          <w:szCs w:val="22"/>
        </w:rPr>
        <w:t xml:space="preserve"> est de nouveau dotée du statut A. </w:t>
      </w:r>
      <w:r w:rsidRPr="00401DFE">
        <w:rPr>
          <w:sz w:val="22"/>
          <w:szCs w:val="22"/>
        </w:rPr>
        <w:t>Elle veille « à la promotion et à l’effectivité des Droits de la personne humaine et des libertés fondamentales</w:t>
      </w:r>
      <w:r w:rsidR="007554AD">
        <w:rPr>
          <w:sz w:val="22"/>
          <w:szCs w:val="22"/>
        </w:rPr>
        <w:t xml:space="preserve"> </w:t>
      </w:r>
      <w:r w:rsidRPr="00401DFE">
        <w:rPr>
          <w:sz w:val="22"/>
          <w:szCs w:val="22"/>
        </w:rPr>
        <w:t xml:space="preserve">conformément aux accords internationaux souscrits par le Niger ». La CNDH est indépendante, apolitique et </w:t>
      </w:r>
      <w:r>
        <w:rPr>
          <w:sz w:val="22"/>
          <w:szCs w:val="22"/>
        </w:rPr>
        <w:t>a une compos</w:t>
      </w:r>
      <w:r w:rsidR="007554AD">
        <w:rPr>
          <w:sz w:val="22"/>
          <w:szCs w:val="22"/>
        </w:rPr>
        <w:t>i</w:t>
      </w:r>
      <w:r>
        <w:rPr>
          <w:sz w:val="22"/>
          <w:szCs w:val="22"/>
        </w:rPr>
        <w:t>tion pluridisciplinaire avec une forte représentation</w:t>
      </w:r>
      <w:r w:rsidRPr="00401DFE">
        <w:rPr>
          <w:sz w:val="22"/>
          <w:szCs w:val="22"/>
        </w:rPr>
        <w:t xml:space="preserve"> de la société </w:t>
      </w:r>
      <w:r w:rsidR="007554AD">
        <w:rPr>
          <w:sz w:val="22"/>
          <w:szCs w:val="22"/>
        </w:rPr>
        <w:t xml:space="preserve">civile </w:t>
      </w:r>
      <w:r w:rsidRPr="00401DFE">
        <w:rPr>
          <w:sz w:val="22"/>
          <w:szCs w:val="22"/>
        </w:rPr>
        <w:t>nigérienne</w:t>
      </w:r>
      <w:r w:rsidR="007554AD">
        <w:rPr>
          <w:sz w:val="22"/>
          <w:szCs w:val="22"/>
        </w:rPr>
        <w:t>. Ce</w:t>
      </w:r>
      <w:r w:rsidRPr="00401DFE">
        <w:rPr>
          <w:sz w:val="22"/>
          <w:szCs w:val="22"/>
        </w:rPr>
        <w:t xml:space="preserve"> qui traduit son souci d’équité et de neutralité.</w:t>
      </w:r>
    </w:p>
    <w:p w14:paraId="5C02F89D" w14:textId="70FA9C7F" w:rsidR="0028280C" w:rsidRDefault="0028280C" w:rsidP="0028280C">
      <w:pPr>
        <w:spacing w:line="240" w:lineRule="auto"/>
        <w:jc w:val="both"/>
        <w:rPr>
          <w:rFonts w:ascii="Times New Roman" w:hAnsi="Times New Roman" w:cs="Times New Roman"/>
          <w:color w:val="000000" w:themeColor="text1"/>
        </w:rPr>
      </w:pPr>
      <w:r w:rsidRPr="00C56D46">
        <w:rPr>
          <w:rFonts w:ascii="Times New Roman" w:hAnsi="Times New Roman" w:cs="Times New Roman"/>
          <w:b/>
          <w:i/>
          <w:color w:val="000000" w:themeColor="text1"/>
        </w:rPr>
        <w:t>Le secteur judiciaire</w:t>
      </w:r>
      <w:r w:rsidRPr="005743EB">
        <w:rPr>
          <w:rFonts w:ascii="Times New Roman" w:hAnsi="Times New Roman" w:cs="Times New Roman"/>
          <w:color w:val="000000" w:themeColor="text1"/>
        </w:rPr>
        <w:t xml:space="preserve"> a fait l’objet de grandes réformes qui </w:t>
      </w:r>
      <w:r>
        <w:rPr>
          <w:rFonts w:ascii="Times New Roman" w:hAnsi="Times New Roman" w:cs="Times New Roman"/>
          <w:color w:val="000000" w:themeColor="text1"/>
        </w:rPr>
        <w:t>ont</w:t>
      </w:r>
      <w:r w:rsidRPr="005743EB">
        <w:rPr>
          <w:rFonts w:ascii="Times New Roman" w:hAnsi="Times New Roman" w:cs="Times New Roman"/>
          <w:color w:val="000000" w:themeColor="text1"/>
        </w:rPr>
        <w:t xml:space="preserve"> permis d’augmenter significativement le taux</w:t>
      </w:r>
      <w:r w:rsidR="007554AD">
        <w:rPr>
          <w:rFonts w:ascii="Times New Roman" w:hAnsi="Times New Roman" w:cs="Times New Roman"/>
          <w:color w:val="000000" w:themeColor="text1"/>
        </w:rPr>
        <w:t xml:space="preserve"> de couverture juridictionnelle qui est</w:t>
      </w:r>
      <w:r w:rsidRPr="005743EB">
        <w:rPr>
          <w:rFonts w:ascii="Times New Roman" w:hAnsi="Times New Roman" w:cs="Times New Roman"/>
          <w:color w:val="000000" w:themeColor="text1"/>
        </w:rPr>
        <w:t xml:space="preserve"> passé de 59,70 % en 2018 à 64,18 % en 2019, soit une progression de 4,48 points de pourcentage.</w:t>
      </w:r>
    </w:p>
    <w:p w14:paraId="79088DDA" w14:textId="77777777" w:rsidR="0028280C" w:rsidRPr="00C56D46" w:rsidRDefault="0028280C" w:rsidP="0028280C">
      <w:pPr>
        <w:spacing w:line="240" w:lineRule="auto"/>
        <w:jc w:val="both"/>
        <w:rPr>
          <w:rFonts w:ascii="Times New Roman" w:eastAsia="Times New Roman" w:hAnsi="Times New Roman" w:cs="Times New Roman"/>
          <w:i/>
        </w:rPr>
      </w:pPr>
      <w:r>
        <w:rPr>
          <w:rFonts w:ascii="Times New Roman" w:eastAsia="Times New Roman" w:hAnsi="Times New Roman" w:cs="Times New Roman"/>
        </w:rPr>
        <w:t>G</w:t>
      </w:r>
      <w:r w:rsidRPr="0058697B">
        <w:rPr>
          <w:rFonts w:ascii="Times New Roman" w:eastAsia="Times New Roman" w:hAnsi="Times New Roman" w:cs="Times New Roman"/>
        </w:rPr>
        <w:t xml:space="preserve">râce au dynamisme du Comité interministériel chargé de la rédaction des rapports aux Organes des traités et de l’EPU, le </w:t>
      </w:r>
      <w:r>
        <w:rPr>
          <w:rFonts w:ascii="Times New Roman" w:eastAsia="Times New Roman" w:hAnsi="Times New Roman" w:cs="Times New Roman"/>
        </w:rPr>
        <w:t>pays</w:t>
      </w:r>
      <w:r w:rsidRPr="0058697B">
        <w:rPr>
          <w:rFonts w:ascii="Times New Roman" w:eastAsia="Times New Roman" w:hAnsi="Times New Roman" w:cs="Times New Roman"/>
        </w:rPr>
        <w:t xml:space="preserve"> est à jour dans </w:t>
      </w:r>
      <w:r w:rsidRPr="00C56D46">
        <w:rPr>
          <w:rFonts w:ascii="Times New Roman" w:eastAsia="Times New Roman" w:hAnsi="Times New Roman" w:cs="Times New Roman"/>
          <w:b/>
          <w:i/>
        </w:rPr>
        <w:t>la soumission régulière de ses rapports tant aux organes des traités onusiens qu’africains</w:t>
      </w:r>
      <w:r w:rsidRPr="00C56D46">
        <w:rPr>
          <w:rFonts w:ascii="Times New Roman" w:eastAsia="Times New Roman" w:hAnsi="Times New Roman" w:cs="Times New Roman"/>
          <w:i/>
        </w:rPr>
        <w:t xml:space="preserve">. </w:t>
      </w:r>
    </w:p>
    <w:p w14:paraId="5836D6D6" w14:textId="77777777" w:rsidR="0028280C" w:rsidRDefault="0028280C" w:rsidP="0028280C">
      <w:pPr>
        <w:spacing w:line="240" w:lineRule="auto"/>
        <w:jc w:val="both"/>
        <w:rPr>
          <w:rFonts w:ascii="Times New Roman" w:eastAsia="Times New Roman" w:hAnsi="Times New Roman" w:cs="Times New Roman"/>
        </w:rPr>
      </w:pPr>
      <w:r w:rsidRPr="007C3505">
        <w:rPr>
          <w:rFonts w:ascii="Times New Roman" w:eastAsia="Times New Roman" w:hAnsi="Times New Roman" w:cs="Times New Roman"/>
        </w:rPr>
        <w:t xml:space="preserve">Sur le plan de </w:t>
      </w:r>
      <w:r w:rsidRPr="00C56D46">
        <w:rPr>
          <w:rFonts w:ascii="Times New Roman" w:eastAsia="Times New Roman" w:hAnsi="Times New Roman" w:cs="Times New Roman"/>
          <w:b/>
          <w:i/>
        </w:rPr>
        <w:t>la coopération avec les procédures spéciales</w:t>
      </w:r>
      <w:r w:rsidRPr="00C56D46">
        <w:rPr>
          <w:rFonts w:ascii="Times New Roman" w:eastAsia="Times New Roman" w:hAnsi="Times New Roman" w:cs="Times New Roman"/>
          <w:i/>
        </w:rPr>
        <w:t>,</w:t>
      </w:r>
      <w:r w:rsidRPr="007C3505">
        <w:rPr>
          <w:rFonts w:ascii="Times New Roman" w:eastAsia="Times New Roman" w:hAnsi="Times New Roman" w:cs="Times New Roman"/>
        </w:rPr>
        <w:t xml:space="preserve"> le Niger a</w:t>
      </w:r>
      <w:r>
        <w:rPr>
          <w:rFonts w:ascii="Times New Roman" w:eastAsia="Times New Roman" w:hAnsi="Times New Roman" w:cs="Times New Roman"/>
        </w:rPr>
        <w:t xml:space="preserve"> </w:t>
      </w:r>
      <w:r w:rsidRPr="007C3505">
        <w:rPr>
          <w:rFonts w:ascii="Times New Roman" w:eastAsia="Times New Roman" w:hAnsi="Times New Roman" w:cs="Times New Roman"/>
        </w:rPr>
        <w:t xml:space="preserve">reçu la visite du Rapporteur spécial sur les droits humains des migrants </w:t>
      </w:r>
      <w:r>
        <w:rPr>
          <w:rFonts w:ascii="Times New Roman" w:eastAsia="Times New Roman" w:hAnsi="Times New Roman" w:cs="Times New Roman"/>
        </w:rPr>
        <w:t>en</w:t>
      </w:r>
      <w:r w:rsidRPr="007C3505">
        <w:rPr>
          <w:rFonts w:ascii="Times New Roman" w:eastAsia="Times New Roman" w:hAnsi="Times New Roman" w:cs="Times New Roman"/>
        </w:rPr>
        <w:t xml:space="preserve"> octobre 2018, du Sous-Comité pour la prévention de la torture et autres peines ou traitements crue</w:t>
      </w:r>
      <w:r>
        <w:rPr>
          <w:rFonts w:ascii="Times New Roman" w:eastAsia="Times New Roman" w:hAnsi="Times New Roman" w:cs="Times New Roman"/>
        </w:rPr>
        <w:t>ls, inhumains ou dégradants en</w:t>
      </w:r>
      <w:r w:rsidRPr="007C3505">
        <w:rPr>
          <w:rFonts w:ascii="Times New Roman" w:eastAsia="Times New Roman" w:hAnsi="Times New Roman" w:cs="Times New Roman"/>
        </w:rPr>
        <w:t xml:space="preserve"> janvier 2017, et de la Direction exécutive du Comité contre le terrorisme </w:t>
      </w:r>
      <w:r>
        <w:rPr>
          <w:rFonts w:ascii="Times New Roman" w:eastAsia="Times New Roman" w:hAnsi="Times New Roman" w:cs="Times New Roman"/>
        </w:rPr>
        <w:t>en juillet 2018</w:t>
      </w:r>
      <w:r w:rsidRPr="007C3505">
        <w:rPr>
          <w:rFonts w:ascii="Times New Roman" w:eastAsia="Times New Roman" w:hAnsi="Times New Roman" w:cs="Times New Roman"/>
        </w:rPr>
        <w:t xml:space="preserve">. </w:t>
      </w:r>
    </w:p>
    <w:p w14:paraId="4ADCA649" w14:textId="77777777" w:rsidR="0028280C" w:rsidRDefault="0028280C" w:rsidP="0028280C">
      <w:pPr>
        <w:spacing w:line="240" w:lineRule="auto"/>
        <w:jc w:val="both"/>
        <w:rPr>
          <w:rFonts w:ascii="Times New Roman" w:eastAsia="Times New Roman" w:hAnsi="Times New Roman" w:cs="Times New Roman"/>
        </w:rPr>
      </w:pPr>
      <w:r>
        <w:rPr>
          <w:rFonts w:ascii="Times New Roman" w:eastAsia="Times New Roman" w:hAnsi="Times New Roman" w:cs="Times New Roman"/>
        </w:rPr>
        <w:t>Le Niger a participé à</w:t>
      </w:r>
      <w:r w:rsidRPr="0058697B">
        <w:rPr>
          <w:rFonts w:ascii="Times New Roman" w:eastAsia="Times New Roman" w:hAnsi="Times New Roman" w:cs="Times New Roman"/>
        </w:rPr>
        <w:t xml:space="preserve"> </w:t>
      </w:r>
      <w:r w:rsidRPr="00C56D46">
        <w:rPr>
          <w:rFonts w:ascii="Times New Roman" w:eastAsia="Times New Roman" w:hAnsi="Times New Roman" w:cs="Times New Roman"/>
          <w:b/>
          <w:i/>
        </w:rPr>
        <w:t>l’Examen périodique universel (EPU) en janvier 2011, janvier 2016 et mai 2021</w:t>
      </w:r>
      <w:r>
        <w:rPr>
          <w:rFonts w:ascii="Times New Roman" w:eastAsia="Times New Roman" w:hAnsi="Times New Roman" w:cs="Times New Roman"/>
        </w:rPr>
        <w:t xml:space="preserve">. </w:t>
      </w:r>
      <w:r w:rsidRPr="0058697B">
        <w:rPr>
          <w:rFonts w:ascii="Times New Roman" w:eastAsia="Times New Roman" w:hAnsi="Times New Roman" w:cs="Times New Roman"/>
        </w:rPr>
        <w:t xml:space="preserve">À l'issue du </w:t>
      </w:r>
      <w:r>
        <w:rPr>
          <w:rFonts w:ascii="Times New Roman" w:eastAsia="Times New Roman" w:hAnsi="Times New Roman" w:cs="Times New Roman"/>
        </w:rPr>
        <w:t>troisième</w:t>
      </w:r>
      <w:r w:rsidRPr="0058697B">
        <w:rPr>
          <w:rFonts w:ascii="Times New Roman" w:eastAsia="Times New Roman" w:hAnsi="Times New Roman" w:cs="Times New Roman"/>
        </w:rPr>
        <w:t xml:space="preserve"> cycle, le pays </w:t>
      </w:r>
      <w:r>
        <w:rPr>
          <w:rFonts w:ascii="Times New Roman" w:eastAsia="Times New Roman" w:hAnsi="Times New Roman" w:cs="Times New Roman"/>
        </w:rPr>
        <w:t xml:space="preserve">a </w:t>
      </w:r>
      <w:r w:rsidRPr="0058697B">
        <w:rPr>
          <w:rFonts w:ascii="Times New Roman" w:eastAsia="Times New Roman" w:hAnsi="Times New Roman" w:cs="Times New Roman"/>
        </w:rPr>
        <w:t xml:space="preserve">souverainement accepté </w:t>
      </w:r>
      <w:r>
        <w:rPr>
          <w:rFonts w:ascii="Times New Roman" w:eastAsia="Times New Roman" w:hAnsi="Times New Roman" w:cs="Times New Roman"/>
        </w:rPr>
        <w:t>248</w:t>
      </w:r>
      <w:r w:rsidRPr="0058697B">
        <w:rPr>
          <w:rFonts w:ascii="Times New Roman" w:eastAsia="Times New Roman" w:hAnsi="Times New Roman" w:cs="Times New Roman"/>
        </w:rPr>
        <w:t xml:space="preserve"> recommandations formulées par </w:t>
      </w:r>
      <w:r>
        <w:rPr>
          <w:rFonts w:ascii="Times New Roman" w:eastAsia="Times New Roman" w:hAnsi="Times New Roman" w:cs="Times New Roman"/>
        </w:rPr>
        <w:t>95 Etats</w:t>
      </w:r>
      <w:r w:rsidRPr="0058697B">
        <w:rPr>
          <w:rFonts w:ascii="Times New Roman" w:eastAsia="Times New Roman" w:hAnsi="Times New Roman" w:cs="Times New Roman"/>
        </w:rPr>
        <w:t xml:space="preserve"> dont la plupart </w:t>
      </w:r>
      <w:r>
        <w:rPr>
          <w:rFonts w:ascii="Times New Roman" w:eastAsia="Times New Roman" w:hAnsi="Times New Roman" w:cs="Times New Roman"/>
        </w:rPr>
        <w:t>portent sur les</w:t>
      </w:r>
      <w:r w:rsidRPr="0058697B">
        <w:rPr>
          <w:rFonts w:ascii="Times New Roman" w:eastAsia="Times New Roman" w:hAnsi="Times New Roman" w:cs="Times New Roman"/>
        </w:rPr>
        <w:t xml:space="preserve"> droits civils et politiques, droits économiques, sociaux et culturels, la ratification de certains instruments juridiques internationaux, </w:t>
      </w:r>
      <w:r>
        <w:rPr>
          <w:rFonts w:ascii="Times New Roman" w:eastAsia="Times New Roman" w:hAnsi="Times New Roman" w:cs="Times New Roman"/>
        </w:rPr>
        <w:t xml:space="preserve">les </w:t>
      </w:r>
      <w:r w:rsidRPr="0058697B">
        <w:rPr>
          <w:rFonts w:ascii="Times New Roman" w:eastAsia="Times New Roman" w:hAnsi="Times New Roman" w:cs="Times New Roman"/>
        </w:rPr>
        <w:t>droits spécifiques des femmes, des enfants et des autres personnes vulnérables</w:t>
      </w:r>
      <w:r>
        <w:rPr>
          <w:rFonts w:ascii="Times New Roman" w:eastAsia="Times New Roman" w:hAnsi="Times New Roman" w:cs="Times New Roman"/>
        </w:rPr>
        <w:t>, le respect des droits de l’homme et du droit international humanitaire dans la lutte contre le terrorisme, le changement climatique et autres questions environnementales</w:t>
      </w:r>
      <w:r w:rsidRPr="0058697B">
        <w:rPr>
          <w:rFonts w:ascii="Times New Roman" w:eastAsia="Times New Roman" w:hAnsi="Times New Roman" w:cs="Times New Roman"/>
        </w:rPr>
        <w:t xml:space="preserve">. </w:t>
      </w:r>
    </w:p>
    <w:p w14:paraId="0DE4107F" w14:textId="77777777" w:rsidR="0028280C" w:rsidRPr="00B46D75" w:rsidRDefault="0028280C" w:rsidP="0028280C">
      <w:pPr>
        <w:spacing w:line="240" w:lineRule="auto"/>
        <w:jc w:val="both"/>
        <w:rPr>
          <w:rFonts w:ascii="Times New Roman" w:eastAsia="Times New Roman" w:hAnsi="Times New Roman" w:cs="Times New Roman"/>
        </w:rPr>
      </w:pPr>
      <w:r>
        <w:rPr>
          <w:rFonts w:ascii="Times New Roman" w:eastAsia="Times New Roman" w:hAnsi="Times New Roman" w:cs="Times New Roman"/>
        </w:rPr>
        <w:t>S’agissant des libertés d’expression, d’association et de réunion, ainsi que de l’espace civique, des reculs sont observés depuis 2014.</w:t>
      </w:r>
      <w:r>
        <w:rPr>
          <w:rStyle w:val="Appelnotedebasdep"/>
          <w:rFonts w:ascii="Times New Roman" w:eastAsia="Times New Roman" w:hAnsi="Times New Roman" w:cs="Times New Roman"/>
        </w:rPr>
        <w:footnoteReference w:id="123"/>
      </w:r>
      <w:r>
        <w:rPr>
          <w:rFonts w:ascii="Times New Roman" w:eastAsia="Times New Roman" w:hAnsi="Times New Roman" w:cs="Times New Roman"/>
        </w:rPr>
        <w:t xml:space="preserve"> Les</w:t>
      </w:r>
      <w:r w:rsidRPr="00B46D75">
        <w:rPr>
          <w:rFonts w:ascii="Times New Roman" w:eastAsia="Times New Roman" w:hAnsi="Times New Roman" w:cs="Times New Roman"/>
        </w:rPr>
        <w:t xml:space="preserve"> rassemblements pacifiques</w:t>
      </w:r>
      <w:r>
        <w:rPr>
          <w:rFonts w:ascii="Times New Roman" w:eastAsia="Times New Roman" w:hAnsi="Times New Roman" w:cs="Times New Roman"/>
        </w:rPr>
        <w:t xml:space="preserve"> sont restreints et les manifestations limitées à </w:t>
      </w:r>
      <w:r w:rsidRPr="00B46D75">
        <w:rPr>
          <w:rFonts w:ascii="Times New Roman" w:eastAsia="Times New Roman" w:hAnsi="Times New Roman" w:cs="Times New Roman"/>
        </w:rPr>
        <w:t>certains jours de la semaine. En 2020, trois manifestants ont été tués lors de manifestations à Niamey et en mars de la même année, 15 défenseurs des droits humains ont été arrêtés pour avoir protesté contre la corruption au sein du min</w:t>
      </w:r>
      <w:r>
        <w:rPr>
          <w:rFonts w:ascii="Times New Roman" w:eastAsia="Times New Roman" w:hAnsi="Times New Roman" w:cs="Times New Roman"/>
        </w:rPr>
        <w:t xml:space="preserve">istère de la Défense. </w:t>
      </w:r>
      <w:r w:rsidRPr="00B46D75">
        <w:rPr>
          <w:rFonts w:ascii="Times New Roman" w:eastAsia="Times New Roman" w:hAnsi="Times New Roman" w:cs="Times New Roman"/>
        </w:rPr>
        <w:t xml:space="preserve">Depuis l'adoption de la loi sur la presse en 2010, qui supprime les peines de prison pour les délits de presse, les journalistes continuent d'être </w:t>
      </w:r>
      <w:r w:rsidRPr="00B46D75">
        <w:rPr>
          <w:rFonts w:ascii="Times New Roman" w:eastAsia="Times New Roman" w:hAnsi="Times New Roman" w:cs="Times New Roman"/>
        </w:rPr>
        <w:lastRenderedPageBreak/>
        <w:t>pris pour cible lorsqu'ils couvrent des manifestations ou pour avoir soulevé des inquiétudes en ligne sur les actions des gouvernements.</w:t>
      </w:r>
    </w:p>
    <w:p w14:paraId="015980AD" w14:textId="77777777" w:rsidR="0028280C" w:rsidRDefault="0028280C" w:rsidP="0028280C">
      <w:pPr>
        <w:spacing w:line="240" w:lineRule="auto"/>
        <w:jc w:val="both"/>
        <w:rPr>
          <w:rFonts w:ascii="Times New Roman" w:hAnsi="Times New Roman" w:cs="Times New Roman"/>
          <w:color w:val="000000" w:themeColor="text1"/>
        </w:rPr>
      </w:pPr>
      <w:r>
        <w:rPr>
          <w:rFonts w:ascii="Times New Roman" w:hAnsi="Times New Roman" w:cs="Times New Roman"/>
          <w:color w:val="000000" w:themeColor="text1"/>
        </w:rPr>
        <w:t>Enfin, la récente él</w:t>
      </w:r>
      <w:r w:rsidRPr="002E5DEC">
        <w:rPr>
          <w:rFonts w:ascii="Times New Roman" w:hAnsi="Times New Roman" w:cs="Times New Roman"/>
          <w:color w:val="000000" w:themeColor="text1"/>
        </w:rPr>
        <w:t xml:space="preserve">ection présidentielle </w:t>
      </w:r>
      <w:r>
        <w:rPr>
          <w:rFonts w:ascii="Times New Roman" w:hAnsi="Times New Roman" w:cs="Times New Roman"/>
          <w:color w:val="000000" w:themeColor="text1"/>
        </w:rPr>
        <w:t>au Niger a</w:t>
      </w:r>
      <w:r w:rsidRPr="002E5DEC">
        <w:rPr>
          <w:rFonts w:ascii="Times New Roman" w:hAnsi="Times New Roman" w:cs="Times New Roman"/>
          <w:color w:val="000000" w:themeColor="text1"/>
        </w:rPr>
        <w:t xml:space="preserve"> abouti, pour la première f</w:t>
      </w:r>
      <w:r>
        <w:rPr>
          <w:rFonts w:ascii="Times New Roman" w:hAnsi="Times New Roman" w:cs="Times New Roman"/>
          <w:color w:val="000000" w:themeColor="text1"/>
        </w:rPr>
        <w:t>ois dans l’histoire politique du pays</w:t>
      </w:r>
      <w:r w:rsidRPr="002E5DEC">
        <w:rPr>
          <w:rFonts w:ascii="Times New Roman" w:hAnsi="Times New Roman" w:cs="Times New Roman"/>
          <w:color w:val="000000" w:themeColor="text1"/>
        </w:rPr>
        <w:t xml:space="preserve">, à la </w:t>
      </w:r>
      <w:r w:rsidRPr="00C56D46">
        <w:rPr>
          <w:rFonts w:ascii="Times New Roman" w:hAnsi="Times New Roman" w:cs="Times New Roman"/>
          <w:b/>
          <w:i/>
          <w:color w:val="000000" w:themeColor="text1"/>
        </w:rPr>
        <w:t>transmission du pouvoir entre deux présidents démocratiquement élus</w:t>
      </w:r>
      <w:r w:rsidRPr="00C56D46">
        <w:rPr>
          <w:rFonts w:ascii="Times New Roman" w:hAnsi="Times New Roman" w:cs="Times New Roman"/>
          <w:i/>
          <w:color w:val="000000" w:themeColor="text1"/>
        </w:rPr>
        <w:t>.</w:t>
      </w:r>
      <w:r>
        <w:rPr>
          <w:rFonts w:ascii="Times New Roman" w:hAnsi="Times New Roman" w:cs="Times New Roman"/>
          <w:color w:val="000000" w:themeColor="text1"/>
        </w:rPr>
        <w:t xml:space="preserve"> </w:t>
      </w:r>
    </w:p>
    <w:p w14:paraId="61AA2A96" w14:textId="5C2BC906" w:rsidR="0028280C" w:rsidRPr="0058697B" w:rsidRDefault="0028280C" w:rsidP="0028280C">
      <w:pPr>
        <w:spacing w:line="240" w:lineRule="auto"/>
        <w:jc w:val="both"/>
        <w:rPr>
          <w:rFonts w:ascii="Times New Roman" w:eastAsia="Times New Roman" w:hAnsi="Times New Roman" w:cs="Times New Roman"/>
        </w:rPr>
      </w:pPr>
      <w:r>
        <w:rPr>
          <w:rFonts w:ascii="Times New Roman" w:hAnsi="Times New Roman" w:cs="Times New Roman"/>
          <w:color w:val="000000" w:themeColor="text1"/>
        </w:rPr>
        <w:t>En dépit de ces efforts,</w:t>
      </w:r>
      <w:r w:rsidRPr="00BF4CDD">
        <w:rPr>
          <w:rFonts w:ascii="Times New Roman" w:hAnsi="Times New Roman" w:cs="Times New Roman"/>
          <w:color w:val="000000" w:themeColor="text1"/>
        </w:rPr>
        <w:t xml:space="preserve"> </w:t>
      </w:r>
      <w:r w:rsidRPr="00C56D46">
        <w:rPr>
          <w:rFonts w:ascii="Times New Roman" w:hAnsi="Times New Roman" w:cs="Times New Roman"/>
          <w:b/>
          <w:i/>
          <w:color w:val="000000" w:themeColor="text1"/>
        </w:rPr>
        <w:t>la situation des droits de l’homme reste confrontée à de nombreux défis</w:t>
      </w:r>
      <w:r w:rsidRPr="00C56D46">
        <w:rPr>
          <w:rFonts w:ascii="Times New Roman" w:hAnsi="Times New Roman" w:cs="Times New Roman"/>
          <w:i/>
          <w:color w:val="000000" w:themeColor="text1"/>
        </w:rPr>
        <w:t xml:space="preserve">, </w:t>
      </w:r>
      <w:r>
        <w:rPr>
          <w:rFonts w:ascii="Times New Roman" w:hAnsi="Times New Roman" w:cs="Times New Roman"/>
          <w:color w:val="000000" w:themeColor="text1"/>
        </w:rPr>
        <w:t xml:space="preserve">et notamment </w:t>
      </w:r>
      <w:r w:rsidR="005031BA">
        <w:rPr>
          <w:rFonts w:ascii="Times New Roman" w:hAnsi="Times New Roman" w:cs="Times New Roman"/>
          <w:color w:val="000000" w:themeColor="text1"/>
        </w:rPr>
        <w:t xml:space="preserve">à </w:t>
      </w:r>
      <w:r>
        <w:rPr>
          <w:rFonts w:ascii="Times New Roman" w:eastAsia="Times New Roman" w:hAnsi="Times New Roman" w:cs="Times New Roman"/>
        </w:rPr>
        <w:t xml:space="preserve">trois problèmes majeurs : la faible jouissance par la population de ses droits économiques et sociaux notamment l’accès à l’emploi en particulier des jeunes, aux services de santé et d’éducation ; la faible représentation des femmes dans la vie publique et politique ; La violation des droits fondamentaux des civils victimes des attaques terroristes.     </w:t>
      </w:r>
    </w:p>
    <w:p w14:paraId="5830B01B" w14:textId="77777777" w:rsidR="0028280C" w:rsidRDefault="0028280C" w:rsidP="0028280C">
      <w:pPr>
        <w:pStyle w:val="Sansinterligne"/>
        <w:jc w:val="both"/>
        <w:rPr>
          <w:rFonts w:ascii="Times New Roman" w:hAnsi="Times New Roman" w:cs="Times New Roman"/>
          <w:color w:val="000000" w:themeColor="text1"/>
          <w:lang w:val="fr-FR"/>
        </w:rPr>
      </w:pPr>
      <w:r w:rsidRPr="00C56D46">
        <w:rPr>
          <w:rFonts w:ascii="Times New Roman" w:hAnsi="Times New Roman" w:cs="Times New Roman"/>
          <w:b/>
          <w:i/>
          <w:color w:val="000000" w:themeColor="text1"/>
          <w:lang w:val="fr-FR"/>
        </w:rPr>
        <w:t>Au plan des droits économiques et sociaux</w:t>
      </w:r>
      <w:r w:rsidRPr="005743EB">
        <w:rPr>
          <w:rFonts w:ascii="Times New Roman" w:hAnsi="Times New Roman" w:cs="Times New Roman"/>
          <w:b/>
          <w:color w:val="000000" w:themeColor="text1"/>
          <w:lang w:val="fr-FR"/>
        </w:rPr>
        <w:t>,</w:t>
      </w:r>
      <w:r w:rsidRPr="00BF4CDD">
        <w:rPr>
          <w:rFonts w:ascii="Times New Roman" w:hAnsi="Times New Roman" w:cs="Times New Roman"/>
          <w:color w:val="000000" w:themeColor="text1"/>
          <w:lang w:val="fr-FR"/>
        </w:rPr>
        <w:t xml:space="preserve"> le Niger reste l’un des pays les plus pauvres du monde avec un indice de développement humain de 0,394</w:t>
      </w:r>
      <w:r>
        <w:rPr>
          <w:rFonts w:ascii="Times New Roman" w:hAnsi="Times New Roman" w:cs="Times New Roman"/>
          <w:color w:val="000000" w:themeColor="text1"/>
          <w:lang w:val="fr-FR"/>
        </w:rPr>
        <w:t>,</w:t>
      </w:r>
      <w:r w:rsidRPr="00BF4CDD">
        <w:rPr>
          <w:rFonts w:ascii="Times New Roman" w:hAnsi="Times New Roman" w:cs="Times New Roman"/>
          <w:color w:val="000000" w:themeColor="text1"/>
          <w:lang w:val="fr-FR"/>
        </w:rPr>
        <w:t xml:space="preserve"> ce qui place le pays dans la catégorie des pays à développement humain faible</w:t>
      </w:r>
      <w:r w:rsidRPr="00BF4CDD">
        <w:rPr>
          <w:rStyle w:val="Appelnotedebasdep"/>
          <w:rFonts w:ascii="Times New Roman" w:hAnsi="Times New Roman" w:cs="Times New Roman"/>
          <w:color w:val="000000" w:themeColor="text1"/>
        </w:rPr>
        <w:footnoteReference w:id="124"/>
      </w:r>
      <w:r w:rsidRPr="00BF4CDD">
        <w:rPr>
          <w:rFonts w:ascii="Times New Roman" w:hAnsi="Times New Roman" w:cs="Times New Roman"/>
          <w:color w:val="000000" w:themeColor="text1"/>
          <w:lang w:val="fr-FR"/>
        </w:rPr>
        <w:t>. Cette situation se caractérise par un faible accès aux services sociaux de base notamment la santé, l’éducation</w:t>
      </w:r>
      <w:r>
        <w:rPr>
          <w:rFonts w:ascii="Times New Roman" w:hAnsi="Times New Roman" w:cs="Times New Roman"/>
          <w:color w:val="000000" w:themeColor="text1"/>
          <w:lang w:val="fr-FR"/>
        </w:rPr>
        <w:t>,</w:t>
      </w:r>
      <w:r w:rsidRPr="00BF4CDD">
        <w:rPr>
          <w:rFonts w:ascii="Times New Roman" w:hAnsi="Times New Roman" w:cs="Times New Roman"/>
          <w:color w:val="000000" w:themeColor="text1"/>
          <w:lang w:val="fr-FR"/>
        </w:rPr>
        <w:t xml:space="preserve"> l’accès à l’eau potable, mais aussi une insuffisance d’opportunités économiques pour les femmes et les jeunes.</w:t>
      </w:r>
    </w:p>
    <w:p w14:paraId="5EE0EB86" w14:textId="77777777" w:rsidR="0028280C" w:rsidRDefault="0028280C" w:rsidP="0028280C">
      <w:pPr>
        <w:pStyle w:val="Sansinterligne"/>
        <w:jc w:val="both"/>
        <w:rPr>
          <w:rFonts w:ascii="Times New Roman" w:hAnsi="Times New Roman" w:cs="Times New Roman"/>
          <w:color w:val="000000" w:themeColor="text1"/>
          <w:lang w:val="fr-FR"/>
        </w:rPr>
      </w:pPr>
    </w:p>
    <w:p w14:paraId="75B86D36" w14:textId="21211720" w:rsidR="0028280C" w:rsidRPr="005743EB" w:rsidRDefault="0028280C" w:rsidP="0028280C">
      <w:pPr>
        <w:spacing w:line="240" w:lineRule="auto"/>
        <w:jc w:val="both"/>
        <w:rPr>
          <w:rFonts w:ascii="Times New Roman" w:eastAsia="Times New Roman" w:hAnsi="Times New Roman" w:cs="Times New Roman"/>
        </w:rPr>
      </w:pPr>
      <w:r w:rsidRPr="00C56D46">
        <w:rPr>
          <w:rFonts w:ascii="Times New Roman" w:eastAsia="Times New Roman" w:hAnsi="Times New Roman" w:cs="Times New Roman"/>
          <w:b/>
          <w:i/>
        </w:rPr>
        <w:t>S’agissant des droits des femmes</w:t>
      </w:r>
      <w:r>
        <w:rPr>
          <w:rFonts w:ascii="Times New Roman" w:eastAsia="Times New Roman" w:hAnsi="Times New Roman" w:cs="Times New Roman"/>
        </w:rPr>
        <w:t>,</w:t>
      </w:r>
      <w:r w:rsidRPr="0058697B">
        <w:rPr>
          <w:rFonts w:ascii="Times New Roman" w:eastAsia="Times New Roman" w:hAnsi="Times New Roman" w:cs="Times New Roman"/>
        </w:rPr>
        <w:t xml:space="preserve"> des efforts ont</w:t>
      </w:r>
      <w:r>
        <w:rPr>
          <w:rFonts w:ascii="Times New Roman" w:eastAsia="Times New Roman" w:hAnsi="Times New Roman" w:cs="Times New Roman"/>
        </w:rPr>
        <w:t xml:space="preserve"> été</w:t>
      </w:r>
      <w:r w:rsidRPr="0058697B">
        <w:rPr>
          <w:rFonts w:ascii="Times New Roman" w:eastAsia="Times New Roman" w:hAnsi="Times New Roman" w:cs="Times New Roman"/>
        </w:rPr>
        <w:t xml:space="preserve"> </w:t>
      </w:r>
      <w:r>
        <w:rPr>
          <w:rFonts w:ascii="Times New Roman" w:eastAsia="Times New Roman" w:hAnsi="Times New Roman" w:cs="Times New Roman"/>
        </w:rPr>
        <w:t>consentis</w:t>
      </w:r>
      <w:r w:rsidRPr="0058697B">
        <w:rPr>
          <w:rFonts w:ascii="Times New Roman" w:eastAsia="Times New Roman" w:hAnsi="Times New Roman" w:cs="Times New Roman"/>
        </w:rPr>
        <w:t xml:space="preserve"> en vue de mieux protéger et promouvoir les droits de la femme</w:t>
      </w:r>
      <w:r>
        <w:rPr>
          <w:rFonts w:ascii="Times New Roman" w:eastAsia="Times New Roman" w:hAnsi="Times New Roman" w:cs="Times New Roman"/>
        </w:rPr>
        <w:t xml:space="preserve">, par la </w:t>
      </w:r>
      <w:r w:rsidRPr="0058697B">
        <w:rPr>
          <w:rFonts w:ascii="Times New Roman" w:eastAsia="Times New Roman" w:hAnsi="Times New Roman" w:cs="Times New Roman"/>
        </w:rPr>
        <w:t xml:space="preserve">révision du code pénal </w:t>
      </w:r>
      <w:r>
        <w:rPr>
          <w:rFonts w:ascii="Times New Roman" w:eastAsia="Times New Roman" w:hAnsi="Times New Roman" w:cs="Times New Roman"/>
        </w:rPr>
        <w:t xml:space="preserve">qui </w:t>
      </w:r>
      <w:r w:rsidRPr="0058697B">
        <w:rPr>
          <w:rFonts w:ascii="Times New Roman" w:eastAsia="Times New Roman" w:hAnsi="Times New Roman" w:cs="Times New Roman"/>
        </w:rPr>
        <w:t xml:space="preserve">condamne et punit le harcèlement sexuel, les mutilations génitales féminines, l'esclavage, la prostitution et le viol. </w:t>
      </w:r>
      <w:r w:rsidR="005031BA">
        <w:rPr>
          <w:rFonts w:ascii="Times New Roman" w:eastAsia="Times New Roman" w:hAnsi="Times New Roman" w:cs="Times New Roman"/>
        </w:rPr>
        <w:t>Pour</w:t>
      </w:r>
      <w:r>
        <w:rPr>
          <w:rFonts w:ascii="Times New Roman" w:eastAsia="Times New Roman" w:hAnsi="Times New Roman" w:cs="Times New Roman"/>
        </w:rPr>
        <w:t>tant, certaines</w:t>
      </w:r>
      <w:r w:rsidRPr="00401DFE">
        <w:rPr>
          <w:rFonts w:ascii="Times New Roman" w:eastAsia="Times New Roman" w:hAnsi="Times New Roman" w:cs="Times New Roman"/>
        </w:rPr>
        <w:t xml:space="preserve"> pratiques coutumières préjudiciables aux femmes et aux filles</w:t>
      </w:r>
      <w:r>
        <w:rPr>
          <w:rFonts w:ascii="Times New Roman" w:eastAsia="Times New Roman" w:hAnsi="Times New Roman" w:cs="Times New Roman"/>
        </w:rPr>
        <w:t xml:space="preserve"> persistent</w:t>
      </w:r>
      <w:r w:rsidRPr="00401DFE">
        <w:rPr>
          <w:rFonts w:ascii="Times New Roman" w:eastAsia="Times New Roman" w:hAnsi="Times New Roman" w:cs="Times New Roman"/>
        </w:rPr>
        <w:t>, telles que le mariage précoce, les mutilations génitales, la wahaya et la discrimin</w:t>
      </w:r>
      <w:r>
        <w:rPr>
          <w:rFonts w:ascii="Times New Roman" w:eastAsia="Times New Roman" w:hAnsi="Times New Roman" w:cs="Times New Roman"/>
        </w:rPr>
        <w:t>ation en matière de succession. Afin de</w:t>
      </w:r>
      <w:r w:rsidRPr="0058697B">
        <w:rPr>
          <w:rFonts w:ascii="Times New Roman" w:eastAsia="Times New Roman" w:hAnsi="Times New Roman" w:cs="Times New Roman"/>
        </w:rPr>
        <w:t xml:space="preserve"> favoriser une meilleure participation de la femme à la vie politique et publique</w:t>
      </w:r>
      <w:r>
        <w:rPr>
          <w:rFonts w:ascii="Times New Roman" w:eastAsia="Times New Roman" w:hAnsi="Times New Roman" w:cs="Times New Roman"/>
        </w:rPr>
        <w:t>,</w:t>
      </w:r>
      <w:r w:rsidRPr="0058697B">
        <w:rPr>
          <w:rFonts w:ascii="Times New Roman" w:eastAsia="Times New Roman" w:hAnsi="Times New Roman" w:cs="Times New Roman"/>
        </w:rPr>
        <w:t xml:space="preserve"> la loi N°2019-69 du 24 décembre 2019 </w:t>
      </w:r>
      <w:r w:rsidR="005031BA">
        <w:rPr>
          <w:rFonts w:ascii="Times New Roman" w:eastAsia="Times New Roman" w:hAnsi="Times New Roman" w:cs="Times New Roman"/>
        </w:rPr>
        <w:t>a</w:t>
      </w:r>
      <w:r w:rsidRPr="0058697B">
        <w:rPr>
          <w:rFonts w:ascii="Times New Roman" w:eastAsia="Times New Roman" w:hAnsi="Times New Roman" w:cs="Times New Roman"/>
        </w:rPr>
        <w:t xml:space="preserve"> rehauss</w:t>
      </w:r>
      <w:r w:rsidR="005031BA">
        <w:rPr>
          <w:rFonts w:ascii="Times New Roman" w:eastAsia="Times New Roman" w:hAnsi="Times New Roman" w:cs="Times New Roman"/>
        </w:rPr>
        <w:t>é</w:t>
      </w:r>
      <w:r w:rsidRPr="0058697B">
        <w:rPr>
          <w:rFonts w:ascii="Times New Roman" w:eastAsia="Times New Roman" w:hAnsi="Times New Roman" w:cs="Times New Roman"/>
        </w:rPr>
        <w:t xml:space="preserve"> le quota de représentation de</w:t>
      </w:r>
      <w:r>
        <w:rPr>
          <w:rFonts w:ascii="Times New Roman" w:eastAsia="Times New Roman" w:hAnsi="Times New Roman" w:cs="Times New Roman"/>
        </w:rPr>
        <w:t>s femmes</w:t>
      </w:r>
      <w:r w:rsidRPr="0058697B">
        <w:rPr>
          <w:rFonts w:ascii="Times New Roman" w:eastAsia="Times New Roman" w:hAnsi="Times New Roman" w:cs="Times New Roman"/>
        </w:rPr>
        <w:t xml:space="preserve"> de 15 à 25 % pour les fonctions électives et de 25 à 30% pour les nominations aux emplois supérieurs de l’Etat. Toutefois, la représentation de</w:t>
      </w:r>
      <w:r>
        <w:rPr>
          <w:rFonts w:ascii="Times New Roman" w:eastAsia="Times New Roman" w:hAnsi="Times New Roman" w:cs="Times New Roman"/>
        </w:rPr>
        <w:t>s</w:t>
      </w:r>
      <w:r w:rsidRPr="0058697B">
        <w:rPr>
          <w:rFonts w:ascii="Times New Roman" w:eastAsia="Times New Roman" w:hAnsi="Times New Roman" w:cs="Times New Roman"/>
        </w:rPr>
        <w:t xml:space="preserve"> femme</w:t>
      </w:r>
      <w:r>
        <w:rPr>
          <w:rFonts w:ascii="Times New Roman" w:eastAsia="Times New Roman" w:hAnsi="Times New Roman" w:cs="Times New Roman"/>
        </w:rPr>
        <w:t>s</w:t>
      </w:r>
      <w:r w:rsidRPr="0058697B">
        <w:rPr>
          <w:rFonts w:ascii="Times New Roman" w:eastAsia="Times New Roman" w:hAnsi="Times New Roman" w:cs="Times New Roman"/>
        </w:rPr>
        <w:t xml:space="preserve"> dans la vie publique reste encore insuffisante. </w:t>
      </w:r>
      <w:r>
        <w:rPr>
          <w:rFonts w:ascii="Times New Roman" w:eastAsia="Times New Roman" w:hAnsi="Times New Roman" w:cs="Times New Roman"/>
        </w:rPr>
        <w:t>Lors</w:t>
      </w:r>
      <w:r w:rsidRPr="0058697B">
        <w:rPr>
          <w:rFonts w:ascii="Times New Roman" w:eastAsia="Times New Roman" w:hAnsi="Times New Roman" w:cs="Times New Roman"/>
        </w:rPr>
        <w:t xml:space="preserve"> des dernières élections législatives </w:t>
      </w:r>
      <w:r>
        <w:rPr>
          <w:rFonts w:ascii="Times New Roman" w:eastAsia="Times New Roman" w:hAnsi="Times New Roman" w:cs="Times New Roman"/>
        </w:rPr>
        <w:t>de</w:t>
      </w:r>
      <w:r w:rsidRPr="0058697B">
        <w:rPr>
          <w:rFonts w:ascii="Times New Roman" w:eastAsia="Times New Roman" w:hAnsi="Times New Roman" w:cs="Times New Roman"/>
        </w:rPr>
        <w:t xml:space="preserve"> 2020, 50 femmes ont été élues à l'Assemblée Nationale sur un total de 166 parlementaires ce qui représente 30,12 % et il</w:t>
      </w:r>
      <w:r>
        <w:rPr>
          <w:rFonts w:ascii="Times New Roman" w:eastAsia="Times New Roman" w:hAnsi="Times New Roman" w:cs="Times New Roman"/>
        </w:rPr>
        <w:t xml:space="preserve"> n’</w:t>
      </w:r>
      <w:r w:rsidRPr="0058697B">
        <w:rPr>
          <w:rFonts w:ascii="Times New Roman" w:eastAsia="Times New Roman" w:hAnsi="Times New Roman" w:cs="Times New Roman"/>
        </w:rPr>
        <w:t xml:space="preserve">y a actuellement </w:t>
      </w:r>
      <w:r w:rsidR="005031BA">
        <w:rPr>
          <w:rFonts w:ascii="Times New Roman" w:eastAsia="Times New Roman" w:hAnsi="Times New Roman" w:cs="Times New Roman"/>
        </w:rPr>
        <w:t xml:space="preserve">que </w:t>
      </w:r>
      <w:r w:rsidRPr="0058697B">
        <w:rPr>
          <w:rFonts w:ascii="Times New Roman" w:eastAsia="Times New Roman" w:hAnsi="Times New Roman" w:cs="Times New Roman"/>
        </w:rPr>
        <w:t>5 femmes sur 34 ministres dans le gouvernement soit 14,7 %</w:t>
      </w:r>
      <w:r>
        <w:rPr>
          <w:rFonts w:ascii="Times New Roman" w:eastAsia="Times New Roman" w:hAnsi="Times New Roman" w:cs="Times New Roman"/>
        </w:rPr>
        <w:t xml:space="preserve">.  </w:t>
      </w:r>
    </w:p>
    <w:p w14:paraId="3F42A249" w14:textId="0D80F621" w:rsidR="0028280C" w:rsidRPr="0058697B" w:rsidRDefault="0028280C" w:rsidP="0028280C">
      <w:pPr>
        <w:spacing w:line="240" w:lineRule="auto"/>
        <w:jc w:val="both"/>
        <w:rPr>
          <w:rFonts w:ascii="Times New Roman" w:eastAsia="Times New Roman" w:hAnsi="Times New Roman" w:cs="Times New Roman"/>
        </w:rPr>
      </w:pPr>
      <w:r w:rsidRPr="0058697B">
        <w:rPr>
          <w:rFonts w:ascii="Times New Roman" w:eastAsia="Times New Roman" w:hAnsi="Times New Roman" w:cs="Times New Roman"/>
        </w:rPr>
        <w:t xml:space="preserve">Depuis 2015, le Niger fait face à </w:t>
      </w:r>
      <w:r w:rsidRPr="00C56D46">
        <w:rPr>
          <w:rFonts w:ascii="Times New Roman" w:eastAsia="Times New Roman" w:hAnsi="Times New Roman" w:cs="Times New Roman"/>
          <w:b/>
          <w:i/>
        </w:rPr>
        <w:t>une insécurité croissante en raison des effets conjugués des crises au Mali et en Libye et des attaques récurrentes de Boko Haram dans la zone du bassin du lac Tchad au sud-est du pays.</w:t>
      </w:r>
      <w:r w:rsidRPr="00C56D46">
        <w:rPr>
          <w:rFonts w:ascii="Times New Roman" w:eastAsia="Times New Roman" w:hAnsi="Times New Roman" w:cs="Times New Roman"/>
          <w:i/>
        </w:rPr>
        <w:t xml:space="preserve"> </w:t>
      </w:r>
      <w:r w:rsidRPr="0058697B">
        <w:rPr>
          <w:rFonts w:ascii="Times New Roman" w:eastAsia="Times New Roman" w:hAnsi="Times New Roman" w:cs="Times New Roman"/>
        </w:rPr>
        <w:t xml:space="preserve">Les premières victimes de ces violences sont les populations civiles qui voient leurs droits les plus fondamentaux - comme le droit à la vie, à l’intégrité physique, à un niveau de vie suffisant ou encore à la propriété – bafoués. Les défis pour la sécurisation des populations civiles sont de taille (vaste territoire, forces de défense et de sécurité nationales pas suffisamment formées, manque d’effectifs militaires dans les régions les plus à risque, manque d’une analyse profonde des dynamiques et des intérêts des </w:t>
      </w:r>
      <w:r>
        <w:rPr>
          <w:rFonts w:ascii="Times New Roman" w:eastAsia="Times New Roman" w:hAnsi="Times New Roman" w:cs="Times New Roman"/>
        </w:rPr>
        <w:t>groupes armés non étatique</w:t>
      </w:r>
      <w:r w:rsidRPr="0058697B">
        <w:rPr>
          <w:rFonts w:ascii="Times New Roman" w:eastAsia="Times New Roman" w:hAnsi="Times New Roman" w:cs="Times New Roman"/>
        </w:rPr>
        <w:t>s opérant dans la région)</w:t>
      </w:r>
      <w:r>
        <w:rPr>
          <w:rFonts w:ascii="Times New Roman" w:eastAsia="Times New Roman" w:hAnsi="Times New Roman" w:cs="Times New Roman"/>
        </w:rPr>
        <w:t>.</w:t>
      </w:r>
      <w:r w:rsidRPr="0058697B">
        <w:rPr>
          <w:rFonts w:ascii="Times New Roman" w:eastAsia="Times New Roman" w:hAnsi="Times New Roman" w:cs="Times New Roman"/>
        </w:rPr>
        <w:t xml:space="preserve"> Dans ce contexte, la protection des populations civil</w:t>
      </w:r>
      <w:r w:rsidR="005031BA">
        <w:rPr>
          <w:rFonts w:ascii="Times New Roman" w:eastAsia="Times New Roman" w:hAnsi="Times New Roman" w:cs="Times New Roman"/>
        </w:rPr>
        <w:t>e</w:t>
      </w:r>
      <w:r w:rsidRPr="0058697B">
        <w:rPr>
          <w:rFonts w:ascii="Times New Roman" w:eastAsia="Times New Roman" w:hAnsi="Times New Roman" w:cs="Times New Roman"/>
        </w:rPr>
        <w:t>s et des groupes les plus vulnérables</w:t>
      </w:r>
      <w:r>
        <w:rPr>
          <w:rFonts w:ascii="Times New Roman" w:eastAsia="Times New Roman" w:hAnsi="Times New Roman" w:cs="Times New Roman"/>
        </w:rPr>
        <w:t xml:space="preserve"> est primordiale.</w:t>
      </w:r>
    </w:p>
    <w:p w14:paraId="7A58931F" w14:textId="06702E8E" w:rsidR="0028280C" w:rsidRPr="00C56D46" w:rsidRDefault="0028280C" w:rsidP="0028280C">
      <w:pPr>
        <w:spacing w:line="240" w:lineRule="auto"/>
        <w:jc w:val="both"/>
        <w:rPr>
          <w:rFonts w:ascii="Times New Roman" w:eastAsia="Times New Roman" w:hAnsi="Times New Roman" w:cs="Times New Roman"/>
        </w:rPr>
      </w:pPr>
      <w:r w:rsidRPr="0058697B">
        <w:rPr>
          <w:rFonts w:ascii="Times New Roman" w:eastAsia="Times New Roman" w:hAnsi="Times New Roman" w:cs="Times New Roman"/>
        </w:rPr>
        <w:t>La lutte contre</w:t>
      </w:r>
      <w:r w:rsidR="005031BA">
        <w:rPr>
          <w:rFonts w:ascii="Times New Roman" w:eastAsia="Times New Roman" w:hAnsi="Times New Roman" w:cs="Times New Roman"/>
        </w:rPr>
        <w:t xml:space="preserve"> le terrorisme et la pandémie de la</w:t>
      </w:r>
      <w:r w:rsidRPr="0058697B">
        <w:rPr>
          <w:rFonts w:ascii="Times New Roman" w:eastAsia="Times New Roman" w:hAnsi="Times New Roman" w:cs="Times New Roman"/>
        </w:rPr>
        <w:t xml:space="preserve"> Covid 19 </w:t>
      </w:r>
      <w:r>
        <w:rPr>
          <w:rFonts w:ascii="Times New Roman" w:eastAsia="Times New Roman" w:hAnsi="Times New Roman" w:cs="Times New Roman"/>
        </w:rPr>
        <w:t>ont</w:t>
      </w:r>
      <w:r w:rsidRPr="0058697B">
        <w:rPr>
          <w:rFonts w:ascii="Times New Roman" w:eastAsia="Times New Roman" w:hAnsi="Times New Roman" w:cs="Times New Roman"/>
        </w:rPr>
        <w:t xml:space="preserve"> </w:t>
      </w:r>
      <w:r>
        <w:rPr>
          <w:rFonts w:ascii="Times New Roman" w:eastAsia="Times New Roman" w:hAnsi="Times New Roman" w:cs="Times New Roman"/>
        </w:rPr>
        <w:t xml:space="preserve">eu un impact négatif sur </w:t>
      </w:r>
      <w:r w:rsidR="005031BA">
        <w:rPr>
          <w:rFonts w:ascii="Times New Roman" w:eastAsia="Times New Roman" w:hAnsi="Times New Roman" w:cs="Times New Roman"/>
        </w:rPr>
        <w:t>la jouissance effective du</w:t>
      </w:r>
      <w:r w:rsidRPr="0058697B">
        <w:rPr>
          <w:rFonts w:ascii="Times New Roman" w:eastAsia="Times New Roman" w:hAnsi="Times New Roman" w:cs="Times New Roman"/>
        </w:rPr>
        <w:t xml:space="preserve"> </w:t>
      </w:r>
      <w:r w:rsidRPr="00C56D46">
        <w:rPr>
          <w:rFonts w:ascii="Times New Roman" w:eastAsia="Times New Roman" w:hAnsi="Times New Roman" w:cs="Times New Roman"/>
          <w:b/>
          <w:i/>
        </w:rPr>
        <w:t>droit à la liberté d’expression et du droit à la liberté de manifestation</w:t>
      </w:r>
      <w:r w:rsidRPr="0058697B">
        <w:rPr>
          <w:rFonts w:ascii="Times New Roman" w:eastAsia="Times New Roman" w:hAnsi="Times New Roman" w:cs="Times New Roman"/>
        </w:rPr>
        <w:t>. L’adoption de la loi N°2019-33 du 03 juillet 2019 relative à la répression de la cybercriminalité est une illustration de la préoccupation des défenseurs des droits de l’homme qui craignent l’utilisation de cette législation pour restreindre l'espace</w:t>
      </w:r>
      <w:r>
        <w:rPr>
          <w:rFonts w:ascii="Times New Roman" w:eastAsia="Times New Roman" w:hAnsi="Times New Roman" w:cs="Times New Roman"/>
        </w:rPr>
        <w:t xml:space="preserve"> civique notamment pour les </w:t>
      </w:r>
      <w:r w:rsidRPr="0058697B">
        <w:rPr>
          <w:rFonts w:ascii="Times New Roman" w:eastAsia="Times New Roman" w:hAnsi="Times New Roman" w:cs="Times New Roman"/>
        </w:rPr>
        <w:t xml:space="preserve">activistes qui utilisent les réseaux sociaux pour exprimer leurs opinions. </w:t>
      </w:r>
    </w:p>
    <w:p w14:paraId="33110CD7" w14:textId="77777777" w:rsidR="0028280C" w:rsidRPr="00E25B1F" w:rsidRDefault="0028280C" w:rsidP="00E25B1F">
      <w:pPr>
        <w:pStyle w:val="Titre2"/>
        <w:rPr>
          <w:rFonts w:ascii="Bernard MT Condensed" w:hAnsi="Bernard MT Condensed"/>
          <w:sz w:val="24"/>
          <w:szCs w:val="24"/>
        </w:rPr>
      </w:pPr>
      <w:bookmarkStart w:id="398" w:name="_Toc84789696"/>
      <w:bookmarkStart w:id="399" w:name="_Toc86687763"/>
      <w:bookmarkStart w:id="400" w:name="_Toc89479445"/>
      <w:bookmarkStart w:id="401" w:name="_Toc89480943"/>
      <w:bookmarkStart w:id="402" w:name="_Toc94480185"/>
      <w:bookmarkStart w:id="403" w:name="_Toc94481846"/>
      <w:bookmarkStart w:id="404" w:name="_Toc94482109"/>
      <w:r w:rsidRPr="00E25B1F">
        <w:rPr>
          <w:rFonts w:ascii="Bernard MT Condensed" w:hAnsi="Bernard MT Condensed"/>
          <w:sz w:val="24"/>
          <w:szCs w:val="24"/>
        </w:rPr>
        <w:t>V.2 - Genre</w:t>
      </w:r>
      <w:bookmarkEnd w:id="398"/>
      <w:bookmarkEnd w:id="399"/>
      <w:bookmarkEnd w:id="400"/>
      <w:bookmarkEnd w:id="401"/>
      <w:bookmarkEnd w:id="402"/>
      <w:bookmarkEnd w:id="403"/>
      <w:bookmarkEnd w:id="404"/>
      <w:r w:rsidRPr="00E25B1F">
        <w:rPr>
          <w:rFonts w:ascii="Bernard MT Condensed" w:hAnsi="Bernard MT Condensed"/>
          <w:sz w:val="24"/>
          <w:szCs w:val="24"/>
        </w:rPr>
        <w:t xml:space="preserve"> </w:t>
      </w:r>
    </w:p>
    <w:p w14:paraId="4C21D11E" w14:textId="77777777" w:rsidR="003B5F1F" w:rsidRPr="003B5F1F" w:rsidRDefault="003B5F1F" w:rsidP="003B5F1F">
      <w:pPr>
        <w:autoSpaceDE w:val="0"/>
        <w:autoSpaceDN w:val="0"/>
        <w:adjustRightInd w:val="0"/>
        <w:jc w:val="both"/>
        <w:rPr>
          <w:rFonts w:ascii="Times New Roman" w:eastAsia="Times New Roman" w:hAnsi="Times New Roman" w:cs="Times New Roman"/>
        </w:rPr>
      </w:pPr>
      <w:r w:rsidRPr="003B5F1F">
        <w:rPr>
          <w:rFonts w:ascii="Times New Roman" w:eastAsia="Times New Roman" w:hAnsi="Times New Roman" w:cs="Times New Roman"/>
        </w:rPr>
        <w:t xml:space="preserve">Pour tirer pleinement profit du potentiel des femmes en vue de la capture du dividende démographique, le Niger a développé une Politique Nationale Genre (PNG) dont la vision à l’horizon 2027 est de « bâtir, avec tous les acteurs, une société, sans discrimination, où les hommes et les femmes, les filles et les garçons ont les mêmes chances de participer à son développement et de jouir des bénéfices de sa croissance ». Le Niger entend ainsi favoriser la protection et la promotion des droits des femmes et des </w:t>
      </w:r>
      <w:r w:rsidRPr="003B5F1F">
        <w:rPr>
          <w:rFonts w:ascii="Times New Roman" w:eastAsia="Times New Roman" w:hAnsi="Times New Roman" w:cs="Times New Roman"/>
        </w:rPr>
        <w:lastRenderedPageBreak/>
        <w:t>hommes en vue de leur participation équitable à la vie civique, économique, sociale, culturelle et politique, ainsi que l’harmonisation des rapports sociaux entre toutes les catégories sociales.</w:t>
      </w:r>
    </w:p>
    <w:p w14:paraId="330C568E" w14:textId="34DB972A" w:rsidR="003B5F1F" w:rsidRPr="003B5F1F" w:rsidRDefault="003B5F1F" w:rsidP="003B5F1F">
      <w:pPr>
        <w:autoSpaceDE w:val="0"/>
        <w:autoSpaceDN w:val="0"/>
        <w:adjustRightInd w:val="0"/>
        <w:jc w:val="both"/>
        <w:rPr>
          <w:rFonts w:ascii="Times New Roman" w:eastAsia="Times New Roman" w:hAnsi="Times New Roman" w:cs="Times New Roman"/>
        </w:rPr>
      </w:pPr>
      <w:r w:rsidRPr="003B5F1F">
        <w:rPr>
          <w:rFonts w:ascii="Times New Roman" w:eastAsia="Times New Roman" w:hAnsi="Times New Roman" w:cs="Times New Roman"/>
        </w:rPr>
        <w:t>Des pas importants ont été franchis au plan poli</w:t>
      </w:r>
      <w:r w:rsidR="005031BA">
        <w:rPr>
          <w:rFonts w:ascii="Times New Roman" w:eastAsia="Times New Roman" w:hAnsi="Times New Roman" w:cs="Times New Roman"/>
        </w:rPr>
        <w:t>ti</w:t>
      </w:r>
      <w:r w:rsidRPr="003B5F1F">
        <w:rPr>
          <w:rFonts w:ascii="Times New Roman" w:eastAsia="Times New Roman" w:hAnsi="Times New Roman" w:cs="Times New Roman"/>
        </w:rPr>
        <w:t>co-juridique. Au plan international, le Niger a ratifié d’importants instruments juridiques qui garantissent les mêmes droits aux femmes et aux hommes. Il a en particulier ratifié la Convention sur l’Élimination de toutes les formes de Discrimination à l’Égard des Femmes (CEDEF) et la Convention relative aux Droits de l’Enfant (CDE) qui prônent l’égalité des chances entre les femmes et les hommes. Au niveau national, la constitution du Niger du 25 novembre 2010 garantit l’égalité du genre en son article 22 qui dispose que « l’État veille à l’élimination de toute forme de discrimination à l’égard de la femme, de la jeune fille et des personnes handicapées. Les politiques publiques dans tous les domaines assurent leur plein épanouissement et leur participation au développement national ».</w:t>
      </w:r>
    </w:p>
    <w:p w14:paraId="2E130513" w14:textId="54D53F27" w:rsidR="0038699B" w:rsidRDefault="003B5F1F" w:rsidP="003B5F1F">
      <w:pPr>
        <w:autoSpaceDE w:val="0"/>
        <w:autoSpaceDN w:val="0"/>
        <w:adjustRightInd w:val="0"/>
        <w:jc w:val="both"/>
        <w:rPr>
          <w:rFonts w:ascii="Times New Roman" w:eastAsia="Times New Roman" w:hAnsi="Times New Roman" w:cs="Times New Roman"/>
        </w:rPr>
      </w:pPr>
      <w:r w:rsidRPr="003B5F1F">
        <w:rPr>
          <w:rFonts w:ascii="Times New Roman" w:eastAsia="Times New Roman" w:hAnsi="Times New Roman" w:cs="Times New Roman"/>
        </w:rPr>
        <w:t>D’autres dispositions législatives militent en faveur de l’égalité du genre et de la lutte contre la discrimination à l’égard des femmes. L’article 5 du code de travail interdit expressément aux employeurs des pratiques discriminatoires dans le recrutement, la conduite et la répartition du travail, la formation professionnelle, l’avancement, la promotion, la rémunération, l’octroi d’avantages sociaux, le recrutement et la rémunération des travailleuses basées sur l’âge, le sexe ou la situation du handicap. Plusieurs autres textes législatifs et règlementaires en vigueur reconnaissent pour l’essentiel, aux femmes et aux hommes les mêmes droits pour l’accès aux services et aux ressources. Certains de ces textes consacrent même des mesures temporaires en vue d’accélérer l’égalité entre les sexes, tandis que d’autres comportent un cadre répressif</w:t>
      </w:r>
      <w:r w:rsidRPr="003B5F1F">
        <w:rPr>
          <w:rFonts w:ascii="Times New Roman" w:eastAsia="Times New Roman" w:hAnsi="Times New Roman" w:cs="Times New Roman"/>
        </w:rPr>
        <w:footnoteReference w:id="125"/>
      </w:r>
      <w:r w:rsidRPr="003B5F1F">
        <w:rPr>
          <w:rFonts w:ascii="Times New Roman" w:eastAsia="Times New Roman" w:hAnsi="Times New Roman" w:cs="Times New Roman"/>
        </w:rPr>
        <w:t xml:space="preserve"> qui protège les femmes contre certaines violations de leurs droits (mutilations génitales féminines, harcèlement sexuel, viol, esclavage, prostitution)</w:t>
      </w:r>
      <w:r w:rsidRPr="003B5F1F">
        <w:rPr>
          <w:rFonts w:ascii="Times New Roman" w:eastAsia="Times New Roman" w:hAnsi="Times New Roman" w:cs="Times New Roman"/>
        </w:rPr>
        <w:footnoteReference w:id="126"/>
      </w:r>
      <w:r w:rsidRPr="003B5F1F">
        <w:rPr>
          <w:rFonts w:ascii="Times New Roman" w:eastAsia="Times New Roman" w:hAnsi="Times New Roman" w:cs="Times New Roman"/>
        </w:rPr>
        <w:t xml:space="preserve">. Pour favoriser la participation des femmes aux instances de prise de décision, le Niger a voté la loi n° 2000-008 (du 07 juin 2000 révisée en 2014) instituant le système de quota dans les fonctions électives (15%) et nominatives (25%). Le décret </w:t>
      </w:r>
      <w:bookmarkStart w:id="405" w:name="_Hlk522034233"/>
      <w:r w:rsidRPr="003B5F1F">
        <w:rPr>
          <w:rFonts w:ascii="Times New Roman" w:eastAsia="Times New Roman" w:hAnsi="Times New Roman" w:cs="Times New Roman"/>
        </w:rPr>
        <w:t>présidentiel du 05 décembre 2017 portant sur la protection, le soutien et l’accompagnement de la jeune fille en cours de scolarité</w:t>
      </w:r>
      <w:bookmarkEnd w:id="405"/>
      <w:r w:rsidRPr="003B5F1F">
        <w:rPr>
          <w:rFonts w:ascii="Times New Roman" w:eastAsia="Times New Roman" w:hAnsi="Times New Roman" w:cs="Times New Roman"/>
        </w:rPr>
        <w:t xml:space="preserve"> vise le maintien des filles à l’école jusqu’à l’âge de 16 ans </w:t>
      </w:r>
      <w:r w:rsidR="005031BA">
        <w:rPr>
          <w:rFonts w:ascii="Times New Roman" w:eastAsia="Times New Roman" w:hAnsi="Times New Roman" w:cs="Times New Roman"/>
        </w:rPr>
        <w:t>en vue de</w:t>
      </w:r>
      <w:r w:rsidRPr="003B5F1F">
        <w:rPr>
          <w:rFonts w:ascii="Times New Roman" w:eastAsia="Times New Roman" w:hAnsi="Times New Roman" w:cs="Times New Roman"/>
        </w:rPr>
        <w:t xml:space="preserve"> réduire le taux de déperdition des filles qui est très élevé</w:t>
      </w:r>
      <w:r w:rsidR="0038699B">
        <w:rPr>
          <w:rStyle w:val="Appelnotedebasdep"/>
          <w:rFonts w:ascii="Times New Roman" w:eastAsia="Times New Roman" w:hAnsi="Times New Roman" w:cs="Times New Roman"/>
        </w:rPr>
        <w:footnoteReference w:id="127"/>
      </w:r>
      <w:r w:rsidRPr="003B5F1F">
        <w:rPr>
          <w:rFonts w:ascii="Times New Roman" w:eastAsia="Times New Roman" w:hAnsi="Times New Roman" w:cs="Times New Roman"/>
        </w:rPr>
        <w:t>.</w:t>
      </w:r>
    </w:p>
    <w:p w14:paraId="7B61493E" w14:textId="3CA590E4" w:rsidR="003B5F1F" w:rsidRPr="003B5F1F" w:rsidRDefault="0038699B" w:rsidP="003B5F1F">
      <w:pPr>
        <w:autoSpaceDE w:val="0"/>
        <w:autoSpaceDN w:val="0"/>
        <w:adjustRightInd w:val="0"/>
        <w:jc w:val="both"/>
        <w:rPr>
          <w:rFonts w:ascii="Times New Roman" w:eastAsia="Times New Roman" w:hAnsi="Times New Roman" w:cs="Times New Roman"/>
        </w:rPr>
      </w:pPr>
      <w:r w:rsidRPr="00954733">
        <w:rPr>
          <w:rFonts w:ascii="Times New Roman" w:eastAsia="Times New Roman" w:hAnsi="Times New Roman" w:cs="Times New Roman"/>
        </w:rPr>
        <w:t>Le 28 septembre 2020, le gouvernement a également adopté le Plan d’Action National de l’agenda Femmes Paix et Sécurité pour la période 2020-2024, en Conseil de Ministres. Ce plan d’action tient compte des nouveaux enjeux et défis en présence, notamment ceux liés aux déplacés internes et phénomènes migratoires ; à la lutte contre l’extrémisme violent et la radicalisation ; aux changements climatiques et la raréfaction des ressources naturelles ; à l’accès à la justice sociale et aux services sociaux de base dans les zones affectées par les conflits et catastrophes naturelles ; aux rôles des femmes dans la prévention, la gestion des conflits, le rétablissement de la sécurité ainsi que la gouvernance à tous les niveaux ;  et à la prise en compte des jeunes dans les mécanism</w:t>
      </w:r>
      <w:r>
        <w:rPr>
          <w:rFonts w:ascii="Times New Roman" w:eastAsia="Times New Roman" w:hAnsi="Times New Roman" w:cs="Times New Roman"/>
        </w:rPr>
        <w:t xml:space="preserve">es de consolidation de la paix </w:t>
      </w:r>
      <w:r w:rsidRPr="00954733">
        <w:rPr>
          <w:rFonts w:ascii="Times New Roman" w:eastAsia="Times New Roman" w:hAnsi="Times New Roman" w:cs="Times New Roman"/>
        </w:rPr>
        <w:t xml:space="preserve"> dans la lignée de la résolution 2250 du Conseil de Sécurité des Nations Unies.</w:t>
      </w:r>
      <w:r w:rsidR="003B5F1F" w:rsidRPr="003B5F1F">
        <w:rPr>
          <w:rFonts w:ascii="Times New Roman" w:eastAsia="Times New Roman" w:hAnsi="Times New Roman" w:cs="Times New Roman"/>
        </w:rPr>
        <w:t xml:space="preserve"> </w:t>
      </w:r>
    </w:p>
    <w:p w14:paraId="5E43D08C" w14:textId="2EB1B050" w:rsidR="003B5F1F" w:rsidRPr="003B5F1F" w:rsidRDefault="003B5F1F" w:rsidP="003B5F1F">
      <w:pPr>
        <w:autoSpaceDE w:val="0"/>
        <w:autoSpaceDN w:val="0"/>
        <w:adjustRightInd w:val="0"/>
        <w:jc w:val="both"/>
        <w:rPr>
          <w:rFonts w:ascii="Times New Roman" w:eastAsia="Times New Roman" w:hAnsi="Times New Roman" w:cs="Times New Roman"/>
        </w:rPr>
      </w:pPr>
      <w:r w:rsidRPr="003B5F1F">
        <w:rPr>
          <w:rFonts w:ascii="Times New Roman" w:eastAsia="Times New Roman" w:hAnsi="Times New Roman" w:cs="Times New Roman"/>
        </w:rPr>
        <w:t xml:space="preserve">Dans la pratique, des efforts importants restent à faire pour améliorer la situation des femmes. De façon générale, </w:t>
      </w:r>
      <w:r w:rsidRPr="00F726C8">
        <w:rPr>
          <w:rFonts w:ascii="Times New Roman" w:eastAsia="Times New Roman" w:hAnsi="Times New Roman" w:cs="Times New Roman"/>
        </w:rPr>
        <w:t>la forte progression démographique contribue à accentuer les inégalités de genre</w:t>
      </w:r>
      <w:r w:rsidRPr="003B5F1F">
        <w:footnoteReference w:id="128"/>
      </w:r>
      <w:r w:rsidRPr="00F726C8">
        <w:rPr>
          <w:rFonts w:ascii="Times New Roman" w:eastAsia="Times New Roman" w:hAnsi="Times New Roman" w:cs="Times New Roman"/>
        </w:rPr>
        <w:t xml:space="preserve">. </w:t>
      </w:r>
      <w:r>
        <w:rPr>
          <w:rFonts w:ascii="Times New Roman" w:eastAsia="Times New Roman" w:hAnsi="Times New Roman" w:cs="Times New Roman"/>
        </w:rPr>
        <w:t xml:space="preserve">Le rapport du PNUD indique </w:t>
      </w:r>
      <w:r w:rsidRPr="003B5F1F">
        <w:rPr>
          <w:rFonts w:ascii="Times New Roman" w:eastAsia="Times New Roman" w:hAnsi="Times New Roman" w:cs="Times New Roman"/>
        </w:rPr>
        <w:t>un indice d’inégalité de genre très élevé de 0,642</w:t>
      </w:r>
      <w:r w:rsidRPr="002F6A94">
        <w:rPr>
          <w:rFonts w:ascii="Times New Roman" w:eastAsia="Times New Roman" w:hAnsi="Times New Roman" w:cs="Times New Roman"/>
        </w:rPr>
        <w:t xml:space="preserve"> </w:t>
      </w:r>
      <w:r w:rsidRPr="00F726C8">
        <w:rPr>
          <w:rFonts w:ascii="Times New Roman" w:eastAsia="Times New Roman" w:hAnsi="Times New Roman" w:cs="Times New Roman"/>
        </w:rPr>
        <w:t xml:space="preserve">en </w:t>
      </w:r>
      <w:r w:rsidRPr="003B5F1F">
        <w:rPr>
          <w:rFonts w:ascii="Times New Roman" w:eastAsia="Times New Roman" w:hAnsi="Times New Roman" w:cs="Times New Roman"/>
        </w:rPr>
        <w:t>2019 ; ce qui le place au dernier rang du classement mondial (PNUD, RDH 2020). De ce fait, la réduction des inégalités doit porter en particulier sur cinq domaines</w:t>
      </w:r>
      <w:r w:rsidR="005031BA">
        <w:rPr>
          <w:rFonts w:ascii="Times New Roman" w:eastAsia="Times New Roman" w:hAnsi="Times New Roman" w:cs="Times New Roman"/>
        </w:rPr>
        <w:t xml:space="preserve"> : (i) L</w:t>
      </w:r>
      <w:r w:rsidRPr="003B5F1F">
        <w:rPr>
          <w:rFonts w:ascii="Times New Roman" w:eastAsia="Times New Roman" w:hAnsi="Times New Roman" w:cs="Times New Roman"/>
        </w:rPr>
        <w:t xml:space="preserve">e mariage des enfants et </w:t>
      </w:r>
      <w:r w:rsidR="005031BA">
        <w:rPr>
          <w:rFonts w:ascii="Times New Roman" w:eastAsia="Times New Roman" w:hAnsi="Times New Roman" w:cs="Times New Roman"/>
        </w:rPr>
        <w:t>le niveau d’instruction ; (ii) L</w:t>
      </w:r>
      <w:r w:rsidRPr="003B5F1F">
        <w:rPr>
          <w:rFonts w:ascii="Times New Roman" w:eastAsia="Times New Roman" w:hAnsi="Times New Roman" w:cs="Times New Roman"/>
        </w:rPr>
        <w:t>a</w:t>
      </w:r>
      <w:r w:rsidR="005031BA">
        <w:rPr>
          <w:rFonts w:ascii="Times New Roman" w:eastAsia="Times New Roman" w:hAnsi="Times New Roman" w:cs="Times New Roman"/>
        </w:rPr>
        <w:t xml:space="preserve"> </w:t>
      </w:r>
      <w:r w:rsidR="005031BA">
        <w:rPr>
          <w:rFonts w:ascii="Times New Roman" w:eastAsia="Times New Roman" w:hAnsi="Times New Roman" w:cs="Times New Roman"/>
        </w:rPr>
        <w:lastRenderedPageBreak/>
        <w:t>santé et la nutrition ; (iii) L</w:t>
      </w:r>
      <w:r w:rsidRPr="003B5F1F">
        <w:rPr>
          <w:rFonts w:ascii="Times New Roman" w:eastAsia="Times New Roman" w:hAnsi="Times New Roman" w:cs="Times New Roman"/>
        </w:rPr>
        <w:t>a fécondité et la c</w:t>
      </w:r>
      <w:r w:rsidR="005031BA">
        <w:rPr>
          <w:rFonts w:ascii="Times New Roman" w:eastAsia="Times New Roman" w:hAnsi="Times New Roman" w:cs="Times New Roman"/>
        </w:rPr>
        <w:t>roissance démographique ; (iv) L</w:t>
      </w:r>
      <w:r w:rsidRPr="003B5F1F">
        <w:rPr>
          <w:rFonts w:ascii="Times New Roman" w:eastAsia="Times New Roman" w:hAnsi="Times New Roman" w:cs="Times New Roman"/>
        </w:rPr>
        <w:t>a participation au marché du travail et la pr</w:t>
      </w:r>
      <w:r w:rsidR="005031BA">
        <w:rPr>
          <w:rFonts w:ascii="Times New Roman" w:eastAsia="Times New Roman" w:hAnsi="Times New Roman" w:cs="Times New Roman"/>
        </w:rPr>
        <w:t>oductivité au travail ; et (v) L</w:t>
      </w:r>
      <w:r w:rsidRPr="003B5F1F">
        <w:rPr>
          <w:rFonts w:ascii="Times New Roman" w:eastAsia="Times New Roman" w:hAnsi="Times New Roman" w:cs="Times New Roman"/>
        </w:rPr>
        <w:t xml:space="preserve">a capacité d’action, y compris la prise de décision et le risque de violence basée sur le genre. </w:t>
      </w:r>
    </w:p>
    <w:p w14:paraId="0A9F2C80" w14:textId="04FF4D78" w:rsidR="00B218A7" w:rsidRDefault="003B5F1F" w:rsidP="0028280C">
      <w:pPr>
        <w:spacing w:line="240" w:lineRule="auto"/>
        <w:jc w:val="both"/>
        <w:rPr>
          <w:rFonts w:ascii="Times New Roman" w:eastAsia="Times New Roman" w:hAnsi="Times New Roman" w:cs="Times New Roman"/>
          <w:color w:val="000000" w:themeColor="text1"/>
        </w:rPr>
      </w:pPr>
      <w:r w:rsidRPr="00F726C8">
        <w:rPr>
          <w:rFonts w:ascii="Times New Roman" w:eastAsia="Times New Roman" w:hAnsi="Times New Roman" w:cs="Times New Roman"/>
          <w:color w:val="000000" w:themeColor="text1"/>
        </w:rPr>
        <w:t xml:space="preserve">Le mariage des enfants et la maternité précoce </w:t>
      </w:r>
      <w:r>
        <w:rPr>
          <w:rFonts w:ascii="Times New Roman" w:eastAsia="Times New Roman" w:hAnsi="Times New Roman" w:cs="Times New Roman"/>
          <w:color w:val="000000" w:themeColor="text1"/>
        </w:rPr>
        <w:t xml:space="preserve">constituent </w:t>
      </w:r>
      <w:r w:rsidRPr="00F726C8">
        <w:rPr>
          <w:rFonts w:ascii="Times New Roman" w:eastAsia="Times New Roman" w:hAnsi="Times New Roman" w:cs="Times New Roman"/>
          <w:color w:val="000000" w:themeColor="text1"/>
        </w:rPr>
        <w:t xml:space="preserve">des problèmes majeurs pour les adolescentes. </w:t>
      </w:r>
      <w:r w:rsidRPr="00172736">
        <w:rPr>
          <w:rFonts w:ascii="Times New Roman" w:eastAsia="Times New Roman" w:hAnsi="Times New Roman" w:cs="Times New Roman"/>
          <w:color w:val="000000" w:themeColor="text1"/>
        </w:rPr>
        <w:t xml:space="preserve">La fécondité des adolescentes demeure élevée. </w:t>
      </w:r>
      <w:r>
        <w:rPr>
          <w:rFonts w:ascii="Times New Roman" w:eastAsia="Times New Roman" w:hAnsi="Times New Roman" w:cs="Times New Roman"/>
          <w:color w:val="000000" w:themeColor="text1"/>
        </w:rPr>
        <w:t xml:space="preserve">Au Niger, quatre filles de </w:t>
      </w:r>
      <w:r w:rsidRPr="00172736">
        <w:rPr>
          <w:rFonts w:ascii="Times New Roman" w:eastAsia="Times New Roman" w:hAnsi="Times New Roman" w:cs="Times New Roman"/>
          <w:color w:val="000000" w:themeColor="text1"/>
        </w:rPr>
        <w:t>15-19 ans</w:t>
      </w:r>
      <w:r>
        <w:rPr>
          <w:rFonts w:ascii="Times New Roman" w:eastAsia="Times New Roman" w:hAnsi="Times New Roman" w:cs="Times New Roman"/>
          <w:color w:val="000000" w:themeColor="text1"/>
        </w:rPr>
        <w:t xml:space="preserve"> sur dix (</w:t>
      </w:r>
      <w:r w:rsidRPr="00172736">
        <w:rPr>
          <w:rFonts w:ascii="Times New Roman" w:eastAsia="Times New Roman" w:hAnsi="Times New Roman" w:cs="Times New Roman"/>
          <w:color w:val="000000" w:themeColor="text1"/>
        </w:rPr>
        <w:t>40 %</w:t>
      </w:r>
      <w:r>
        <w:rPr>
          <w:rFonts w:ascii="Times New Roman" w:eastAsia="Times New Roman" w:hAnsi="Times New Roman" w:cs="Times New Roman"/>
          <w:color w:val="000000" w:themeColor="text1"/>
        </w:rPr>
        <w:t xml:space="preserve">) </w:t>
      </w:r>
      <w:r w:rsidRPr="00172736">
        <w:rPr>
          <w:rFonts w:ascii="Times New Roman" w:eastAsia="Times New Roman" w:hAnsi="Times New Roman" w:cs="Times New Roman"/>
          <w:color w:val="000000" w:themeColor="text1"/>
        </w:rPr>
        <w:t>ont déjà commencé leur vie procréative</w:t>
      </w:r>
      <w:r>
        <w:rPr>
          <w:rFonts w:ascii="Times New Roman" w:eastAsia="Times New Roman" w:hAnsi="Times New Roman" w:cs="Times New Roman"/>
          <w:color w:val="000000" w:themeColor="text1"/>
        </w:rPr>
        <w:t xml:space="preserve"> (EDSN, 2012). Cette entrée précoce en vie féconde </w:t>
      </w:r>
      <w:r w:rsidRPr="00172736">
        <w:rPr>
          <w:rFonts w:ascii="Times New Roman" w:eastAsia="Times New Roman" w:hAnsi="Times New Roman" w:cs="Times New Roman"/>
          <w:color w:val="000000" w:themeColor="text1"/>
        </w:rPr>
        <w:t>augmente avec l’âge, passant de 7 % à 15 ans à 42 % à 17 ans et à 75 % à 19 ans, âge auquel 68 % des jeunes filles ont déjà eu un enfant.</w:t>
      </w:r>
      <w:r w:rsidRPr="00F726C8">
        <w:rPr>
          <w:rFonts w:ascii="Times New Roman" w:eastAsia="Times New Roman" w:hAnsi="Times New Roman" w:cs="Times New Roman"/>
          <w:color w:val="000000" w:themeColor="text1"/>
        </w:rPr>
        <w:t xml:space="preserve"> </w:t>
      </w:r>
      <w:r>
        <w:rPr>
          <w:rFonts w:ascii="Times New Roman" w:eastAsia="Times New Roman" w:hAnsi="Times New Roman" w:cs="Times New Roman"/>
          <w:color w:val="000000" w:themeColor="text1"/>
        </w:rPr>
        <w:t>La situation semble toutefois s’améliorer. En effet, les résultats provisoires de l’</w:t>
      </w:r>
      <w:r w:rsidRPr="00172736">
        <w:rPr>
          <w:rFonts w:ascii="Times New Roman" w:eastAsia="Times New Roman" w:hAnsi="Times New Roman" w:cs="Times New Roman"/>
          <w:color w:val="000000" w:themeColor="text1"/>
        </w:rPr>
        <w:t xml:space="preserve">ENAFEME indiquent une baisse relativement importante du mariage des enfants en 2021 au Niger.  Bien que le niveau soit toujours élevé, le mariage précoce est en recul dans les jeunes générations, la proportion des femmes de 20-24 ans mariées avant 18 ans passant de 76% en 2012 à 65% en 2021 soit, une baisse 11 points. Cette tendance à la baisse est confirmée par les résultats de l’Enquête Nationale sur les Violences Basées sur le Genre (53, 4%) et de PMA2020 de 2021 (65%). </w:t>
      </w:r>
      <w:r w:rsidR="00C12791">
        <w:rPr>
          <w:rFonts w:ascii="Times New Roman" w:eastAsia="Times New Roman" w:hAnsi="Times New Roman" w:cs="Times New Roman"/>
          <w:color w:val="000000" w:themeColor="text1"/>
        </w:rPr>
        <w:t xml:space="preserve">Au cours de la même </w:t>
      </w:r>
      <w:r w:rsidRPr="00172736">
        <w:rPr>
          <w:rFonts w:ascii="Times New Roman" w:eastAsia="Times New Roman" w:hAnsi="Times New Roman" w:cs="Times New Roman"/>
          <w:color w:val="000000" w:themeColor="text1"/>
        </w:rPr>
        <w:t xml:space="preserve"> période, l’âge médian au premier mariage des femmes de 20-49 ans, qui fournit une meilleure indication de </w:t>
      </w:r>
      <w:r w:rsidR="00C12791">
        <w:rPr>
          <w:rFonts w:ascii="Times New Roman" w:eastAsia="Times New Roman" w:hAnsi="Times New Roman" w:cs="Times New Roman"/>
          <w:color w:val="000000" w:themeColor="text1"/>
        </w:rPr>
        <w:t>l’âge au premier mariage est  passé</w:t>
      </w:r>
      <w:r w:rsidRPr="00172736">
        <w:rPr>
          <w:rFonts w:ascii="Times New Roman" w:eastAsia="Times New Roman" w:hAnsi="Times New Roman" w:cs="Times New Roman"/>
          <w:color w:val="000000" w:themeColor="text1"/>
        </w:rPr>
        <w:t xml:space="preserve"> de 15,8 à 16,6 ans.</w:t>
      </w:r>
      <w:r>
        <w:rPr>
          <w:rFonts w:ascii="Times New Roman" w:eastAsia="Times New Roman" w:hAnsi="Times New Roman" w:cs="Times New Roman"/>
          <w:color w:val="000000" w:themeColor="text1"/>
        </w:rPr>
        <w:t xml:space="preserve"> </w:t>
      </w:r>
      <w:r w:rsidRPr="003B5F1F">
        <w:rPr>
          <w:rFonts w:ascii="Times New Roman" w:eastAsia="Times New Roman" w:hAnsi="Times New Roman" w:cs="Times New Roman"/>
          <w:color w:val="000000" w:themeColor="text1"/>
        </w:rPr>
        <w:t xml:space="preserve">Cette tendance se répercute sur la baisse de la fécondité observée au niveau global et se traduit </w:t>
      </w:r>
      <w:r w:rsidR="00C12791">
        <w:rPr>
          <w:rFonts w:ascii="Times New Roman" w:eastAsia="Times New Roman" w:hAnsi="Times New Roman" w:cs="Times New Roman"/>
          <w:color w:val="000000" w:themeColor="text1"/>
        </w:rPr>
        <w:t>à travers d</w:t>
      </w:r>
      <w:r w:rsidRPr="003B5F1F">
        <w:rPr>
          <w:rFonts w:ascii="Times New Roman" w:eastAsia="Times New Roman" w:hAnsi="Times New Roman" w:cs="Times New Roman"/>
          <w:color w:val="000000" w:themeColor="text1"/>
        </w:rPr>
        <w:t>es taux de fécondité par âge, notamment des jeunes filles. Ainsi pour le groupe d’âge de 15-19 ans, le taux de fécondité est passé de 206‰ en 2012 à 132‰ en 2021, soit un</w:t>
      </w:r>
      <w:r>
        <w:rPr>
          <w:rFonts w:ascii="Times New Roman" w:eastAsia="Times New Roman" w:hAnsi="Times New Roman" w:cs="Times New Roman"/>
          <w:color w:val="000000" w:themeColor="text1"/>
        </w:rPr>
        <w:t>e baisse de 36% sur la période.</w:t>
      </w:r>
    </w:p>
    <w:p w14:paraId="4299AEA8" w14:textId="5ECA690C" w:rsidR="003B5F1F" w:rsidRDefault="0028280C" w:rsidP="0028280C">
      <w:pPr>
        <w:spacing w:line="240" w:lineRule="auto"/>
        <w:jc w:val="both"/>
        <w:rPr>
          <w:rFonts w:ascii="Times New Roman" w:eastAsia="Times New Roman" w:hAnsi="Times New Roman" w:cs="Times New Roman"/>
          <w:color w:val="000000" w:themeColor="text1"/>
        </w:rPr>
      </w:pPr>
      <w:r w:rsidRPr="00F726C8">
        <w:rPr>
          <w:rFonts w:ascii="Times New Roman" w:eastAsia="Times New Roman" w:hAnsi="Times New Roman" w:cs="Times New Roman"/>
          <w:color w:val="000000" w:themeColor="text1"/>
        </w:rPr>
        <w:t xml:space="preserve">Les schémas d’inégalité entre les genres commencent </w:t>
      </w:r>
      <w:r w:rsidR="003B5F1F">
        <w:rPr>
          <w:rFonts w:ascii="Times New Roman" w:eastAsia="Times New Roman" w:hAnsi="Times New Roman" w:cs="Times New Roman"/>
          <w:color w:val="000000" w:themeColor="text1"/>
        </w:rPr>
        <w:t xml:space="preserve">ainsi </w:t>
      </w:r>
      <w:r w:rsidRPr="00F726C8">
        <w:rPr>
          <w:rFonts w:ascii="Times New Roman" w:eastAsia="Times New Roman" w:hAnsi="Times New Roman" w:cs="Times New Roman"/>
          <w:color w:val="000000" w:themeColor="text1"/>
        </w:rPr>
        <w:t xml:space="preserve">à être importants </w:t>
      </w:r>
      <w:r w:rsidR="003B5F1F">
        <w:rPr>
          <w:rFonts w:ascii="Times New Roman" w:eastAsia="Times New Roman" w:hAnsi="Times New Roman" w:cs="Times New Roman"/>
          <w:color w:val="000000" w:themeColor="text1"/>
        </w:rPr>
        <w:t>dès</w:t>
      </w:r>
      <w:r w:rsidRPr="00F726C8">
        <w:rPr>
          <w:rFonts w:ascii="Times New Roman" w:eastAsia="Times New Roman" w:hAnsi="Times New Roman" w:cs="Times New Roman"/>
          <w:color w:val="000000" w:themeColor="text1"/>
        </w:rPr>
        <w:t xml:space="preserve"> l’adolescence, car les filles abandonnent l’école, se marient et ont des enf</w:t>
      </w:r>
      <w:r>
        <w:rPr>
          <w:rFonts w:ascii="Times New Roman" w:eastAsia="Times New Roman" w:hAnsi="Times New Roman" w:cs="Times New Roman"/>
          <w:color w:val="000000" w:themeColor="text1"/>
        </w:rPr>
        <w:t>ants à un jeune âge. M</w:t>
      </w:r>
      <w:r w:rsidRPr="00F726C8">
        <w:rPr>
          <w:rFonts w:ascii="Times New Roman" w:eastAsia="Times New Roman" w:hAnsi="Times New Roman" w:cs="Times New Roman"/>
          <w:color w:val="000000" w:themeColor="text1"/>
        </w:rPr>
        <w:t xml:space="preserve">algré certains progrès accomplis dans l’amélioration du niveau d’instruction, les filles continuent d’avoir des résultats médiocres en termes d’achèvement des études primaires et secondaires par rapport aux garçons. En 2016, le taux d’achèvement du cycle primaire </w:t>
      </w:r>
      <w:r>
        <w:rPr>
          <w:rFonts w:ascii="Times New Roman" w:eastAsia="Times New Roman" w:hAnsi="Times New Roman" w:cs="Times New Roman"/>
          <w:color w:val="000000" w:themeColor="text1"/>
        </w:rPr>
        <w:t>a été</w:t>
      </w:r>
      <w:r w:rsidRPr="00F726C8">
        <w:rPr>
          <w:rFonts w:ascii="Times New Roman" w:eastAsia="Times New Roman" w:hAnsi="Times New Roman" w:cs="Times New Roman"/>
          <w:color w:val="000000" w:themeColor="text1"/>
        </w:rPr>
        <w:t xml:space="preserve"> estimé à 26,5 % seulement pour les filles de 15 à 18 ans, contre 41,4 % pour les garçons ; pour le premier cycle du sec</w:t>
      </w:r>
      <w:r>
        <w:rPr>
          <w:rFonts w:ascii="Times New Roman" w:eastAsia="Times New Roman" w:hAnsi="Times New Roman" w:cs="Times New Roman"/>
          <w:color w:val="000000" w:themeColor="text1"/>
        </w:rPr>
        <w:t xml:space="preserve">ondaire, les taux d’achèvement </w:t>
      </w:r>
      <w:r w:rsidRPr="00F726C8">
        <w:rPr>
          <w:rFonts w:ascii="Times New Roman" w:eastAsia="Times New Roman" w:hAnsi="Times New Roman" w:cs="Times New Roman"/>
          <w:color w:val="000000" w:themeColor="text1"/>
        </w:rPr>
        <w:t xml:space="preserve">ont </w:t>
      </w:r>
      <w:r>
        <w:rPr>
          <w:rFonts w:ascii="Times New Roman" w:eastAsia="Times New Roman" w:hAnsi="Times New Roman" w:cs="Times New Roman"/>
          <w:color w:val="000000" w:themeColor="text1"/>
        </w:rPr>
        <w:t xml:space="preserve">été </w:t>
      </w:r>
      <w:r w:rsidRPr="00F726C8">
        <w:rPr>
          <w:rFonts w:ascii="Times New Roman" w:eastAsia="Times New Roman" w:hAnsi="Times New Roman" w:cs="Times New Roman"/>
          <w:color w:val="000000" w:themeColor="text1"/>
        </w:rPr>
        <w:t xml:space="preserve">estimés à 6,2 % pour les filles de 18 à 20 ans, contre 15,6 % pour les garçons. Pour le deuxième cycle du secondaire, les taux d’achèvement </w:t>
      </w:r>
      <w:r>
        <w:rPr>
          <w:rFonts w:ascii="Times New Roman" w:eastAsia="Times New Roman" w:hAnsi="Times New Roman" w:cs="Times New Roman"/>
          <w:color w:val="000000" w:themeColor="text1"/>
        </w:rPr>
        <w:t>demeurent</w:t>
      </w:r>
      <w:r w:rsidRPr="00F726C8">
        <w:rPr>
          <w:rFonts w:ascii="Times New Roman" w:eastAsia="Times New Roman" w:hAnsi="Times New Roman" w:cs="Times New Roman"/>
          <w:color w:val="000000" w:themeColor="text1"/>
        </w:rPr>
        <w:t xml:space="preserve"> extrêmement bas, à 2,4 % pour les filles de 21 à 24 ans, contre 6,5 % pour les garçons. Le Niger reste </w:t>
      </w:r>
      <w:r>
        <w:rPr>
          <w:rFonts w:ascii="Times New Roman" w:eastAsia="Times New Roman" w:hAnsi="Times New Roman" w:cs="Times New Roman"/>
          <w:color w:val="000000" w:themeColor="text1"/>
        </w:rPr>
        <w:t>à la traîne des autres pays de l’</w:t>
      </w:r>
      <w:r w:rsidRPr="00F726C8">
        <w:rPr>
          <w:rFonts w:ascii="Times New Roman" w:eastAsia="Times New Roman" w:hAnsi="Times New Roman" w:cs="Times New Roman"/>
          <w:color w:val="000000" w:themeColor="text1"/>
        </w:rPr>
        <w:t>Afrique de l’Oue</w:t>
      </w:r>
      <w:r>
        <w:rPr>
          <w:rFonts w:ascii="Times New Roman" w:eastAsia="Times New Roman" w:hAnsi="Times New Roman" w:cs="Times New Roman"/>
          <w:color w:val="000000" w:themeColor="text1"/>
        </w:rPr>
        <w:t>st et du Centre</w:t>
      </w:r>
      <w:r w:rsidRPr="00F726C8">
        <w:rPr>
          <w:rFonts w:ascii="Times New Roman" w:eastAsia="Times New Roman" w:hAnsi="Times New Roman" w:cs="Times New Roman"/>
          <w:color w:val="000000" w:themeColor="text1"/>
        </w:rPr>
        <w:t xml:space="preserve">. </w:t>
      </w:r>
    </w:p>
    <w:p w14:paraId="11D202F1" w14:textId="1FC07A1B" w:rsidR="0028280C" w:rsidRPr="003B5F1F" w:rsidRDefault="003B5F1F" w:rsidP="003B5F1F">
      <w:pPr>
        <w:pStyle w:val="Paragraphedeliste"/>
        <w:autoSpaceDE w:val="0"/>
        <w:autoSpaceDN w:val="0"/>
        <w:adjustRightInd w:val="0"/>
        <w:ind w:left="0"/>
        <w:jc w:val="both"/>
        <w:rPr>
          <w:rFonts w:ascii="Times New Roman" w:eastAsia="Times New Roman" w:hAnsi="Times New Roman" w:cs="Times New Roman"/>
        </w:rPr>
      </w:pPr>
      <w:r w:rsidRPr="003B5F1F">
        <w:rPr>
          <w:rFonts w:ascii="Times New Roman" w:eastAsia="Times New Roman" w:hAnsi="Times New Roman" w:cs="Times New Roman"/>
          <w:color w:val="000000" w:themeColor="text1"/>
        </w:rPr>
        <w:t>Au plan économique, le chômage des femmes est endémique dans le pays. Comme mentionné plus haut, le taux combiné du sous-emploi lié au temps de travail et du chômage atteint plus du tiers des femmes (35,7% 27,2% chez les hommes ; ERI/ESI, 2019). Ce chômage est en particulier important chez les jeunes femmes de 15-24 ans dont près de huit sur dix (78% contre 56,4% d’hommes) sont « ni en emploi, ni en éducation, ni en formation » (ERI/ESI, 2019). Le taux de salarisation dans le secteur non agricole ne concerne que 14,8% des femmes contre 30,8% des hommes. La plupart des femmes nigériennes, notamment en milieu rural, exercent en plus de leurs activités domestiques, une activité économique, généralement dans l‘agriculture. Selon les résultats de l’EDSN de 2012, seulement un</w:t>
      </w:r>
      <w:r w:rsidRPr="00F726C8">
        <w:rPr>
          <w:rFonts w:ascii="Times New Roman" w:eastAsia="Times New Roman" w:hAnsi="Times New Roman" w:cs="Times New Roman"/>
        </w:rPr>
        <w:t xml:space="preserve"> quart des femmes de 15 à 49 ans ont déclaré avoir exercé une activité contre rémunération en argent ou contre rémunération en argent et/ou en nature au cours des 12 derniers mois au moment de l’enquête. En fait, ces chiffres </w:t>
      </w:r>
      <w:sdt>
        <w:sdtPr>
          <w:tag w:val="goog_rdk_126"/>
          <w:id w:val="1452129596"/>
        </w:sdtPr>
        <w:sdtContent>
          <w:r w:rsidRPr="00F726C8">
            <w:rPr>
              <w:rFonts w:ascii="Times New Roman" w:eastAsia="Times New Roman" w:hAnsi="Times New Roman" w:cs="Times New Roman"/>
            </w:rPr>
            <w:t>sous-estiment</w:t>
          </w:r>
        </w:sdtContent>
      </w:sdt>
      <w:r w:rsidRPr="00F726C8">
        <w:rPr>
          <w:rFonts w:ascii="Times New Roman" w:eastAsia="Times New Roman" w:hAnsi="Times New Roman" w:cs="Times New Roman"/>
        </w:rPr>
        <w:t xml:space="preserve"> la réalité, car les activités dans l’agriculture sont mal appréhendées. La plupart des femmes (85%) ont déclaré avoir décidé seules de l’utilisation de cette rémunération, qu’elles pensent inférieure à celle de leur conjoint. Dans la majorité des </w:t>
      </w:r>
      <w:sdt>
        <w:sdtPr>
          <w:tag w:val="goog_rdk_128"/>
          <w:id w:val="505488144"/>
        </w:sdtPr>
        <w:sdtContent>
          <w:r w:rsidRPr="00F726C8">
            <w:rPr>
              <w:rFonts w:ascii="Times New Roman" w:eastAsia="Times New Roman" w:hAnsi="Times New Roman" w:cs="Times New Roman"/>
            </w:rPr>
            <w:t>cas, les</w:t>
          </w:r>
        </w:sdtContent>
      </w:sdt>
      <w:r w:rsidRPr="00F726C8">
        <w:rPr>
          <w:rFonts w:ascii="Times New Roman" w:eastAsia="Times New Roman" w:hAnsi="Times New Roman" w:cs="Times New Roman"/>
        </w:rPr>
        <w:t xml:space="preserve"> femmes ne possèdent pas de terres (64%) et celles qu’elles cultivent leur sont généralement attribuées selon des règles coutumières.</w:t>
      </w:r>
    </w:p>
    <w:p w14:paraId="40C791B2" w14:textId="01AFB0E9" w:rsidR="0028280C" w:rsidRDefault="0028280C" w:rsidP="0028280C">
      <w:pPr>
        <w:spacing w:line="240" w:lineRule="auto"/>
        <w:jc w:val="both"/>
        <w:rPr>
          <w:rFonts w:ascii="Times New Roman" w:eastAsia="Times New Roman" w:hAnsi="Times New Roman" w:cs="Times New Roman"/>
        </w:rPr>
      </w:pPr>
      <w:r w:rsidRPr="00F726C8">
        <w:rPr>
          <w:rFonts w:ascii="Times New Roman" w:eastAsia="Times New Roman" w:hAnsi="Times New Roman" w:cs="Times New Roman"/>
          <w:color w:val="000000" w:themeColor="text1"/>
        </w:rPr>
        <w:t xml:space="preserve">Les écarts en matière d’égalité et d’équité de genre concernent également les femmes adultes aussi bien </w:t>
      </w:r>
      <w:r w:rsidR="00C12791">
        <w:rPr>
          <w:rFonts w:ascii="Times New Roman" w:eastAsia="Times New Roman" w:hAnsi="Times New Roman" w:cs="Times New Roman"/>
          <w:color w:val="000000" w:themeColor="text1"/>
        </w:rPr>
        <w:t>celles pratiquant</w:t>
      </w:r>
      <w:r w:rsidRPr="00F726C8">
        <w:rPr>
          <w:rFonts w:ascii="Times New Roman" w:eastAsia="Times New Roman" w:hAnsi="Times New Roman" w:cs="Times New Roman"/>
          <w:color w:val="000000" w:themeColor="text1"/>
        </w:rPr>
        <w:t xml:space="preserve"> </w:t>
      </w:r>
      <w:r w:rsidR="00C12791">
        <w:rPr>
          <w:rFonts w:ascii="Times New Roman" w:eastAsia="Times New Roman" w:hAnsi="Times New Roman" w:cs="Times New Roman"/>
          <w:color w:val="000000" w:themeColor="text1"/>
        </w:rPr>
        <w:t>l</w:t>
      </w:r>
      <w:r w:rsidRPr="00F726C8">
        <w:rPr>
          <w:rFonts w:ascii="Times New Roman" w:eastAsia="Times New Roman" w:hAnsi="Times New Roman" w:cs="Times New Roman"/>
          <w:color w:val="000000" w:themeColor="text1"/>
        </w:rPr>
        <w:t>es activités domestiques que celles insérées dans le marché du travail (Banque Mondiale, 2018)</w:t>
      </w:r>
      <w:r w:rsidRPr="00F726C8">
        <w:rPr>
          <w:rStyle w:val="Appelnotedebasdep"/>
          <w:rFonts w:ascii="Times New Roman" w:eastAsia="Times New Roman" w:hAnsi="Times New Roman" w:cs="Times New Roman"/>
          <w:color w:val="000000" w:themeColor="text1"/>
        </w:rPr>
        <w:t xml:space="preserve"> </w:t>
      </w:r>
      <w:r w:rsidRPr="00F726C8">
        <w:rPr>
          <w:rStyle w:val="Appelnotedebasdep"/>
          <w:rFonts w:ascii="Times New Roman" w:eastAsia="Times New Roman" w:hAnsi="Times New Roman" w:cs="Times New Roman"/>
          <w:color w:val="000000" w:themeColor="text1"/>
        </w:rPr>
        <w:footnoteReference w:id="129"/>
      </w:r>
      <w:r w:rsidRPr="00F726C8">
        <w:rPr>
          <w:rFonts w:ascii="Times New Roman" w:eastAsia="Times New Roman" w:hAnsi="Times New Roman" w:cs="Times New Roman"/>
          <w:color w:val="000000" w:themeColor="text1"/>
        </w:rPr>
        <w:t xml:space="preserve">. Dans cette société de type patriarcal, les femmes ont généralement un faible pouvoir de décision ; et de telles inégalités se perpétuent d’une génération à une autre. Cette position sociale affecte leur capacité décisionnelle tout au long de leur vie. </w:t>
      </w:r>
      <w:r>
        <w:rPr>
          <w:rFonts w:ascii="Times New Roman" w:eastAsia="Times New Roman" w:hAnsi="Times New Roman" w:cs="Times New Roman"/>
          <w:color w:val="000000" w:themeColor="text1"/>
        </w:rPr>
        <w:t>La réduction de</w:t>
      </w:r>
      <w:r w:rsidRPr="00F726C8">
        <w:rPr>
          <w:rFonts w:ascii="Times New Roman" w:eastAsia="Times New Roman" w:hAnsi="Times New Roman" w:cs="Times New Roman"/>
          <w:color w:val="000000" w:themeColor="text1"/>
        </w:rPr>
        <w:t xml:space="preserve"> ces inégalités leur permettrait de mieux prendre en charge leur vie génésique et cela pourrait réduire la fécondité totale, ce </w:t>
      </w:r>
      <w:r w:rsidRPr="00F726C8">
        <w:rPr>
          <w:rFonts w:ascii="Times New Roman" w:eastAsia="Times New Roman" w:hAnsi="Times New Roman" w:cs="Times New Roman"/>
          <w:color w:val="000000" w:themeColor="text1"/>
        </w:rPr>
        <w:lastRenderedPageBreak/>
        <w:t xml:space="preserve">qui entraînerait une réduction de la croissance démographique. Il est à noter que la part la plus importante (80 %) </w:t>
      </w:r>
      <w:r w:rsidRPr="00F726C8">
        <w:rPr>
          <w:rFonts w:ascii="Times New Roman" w:eastAsia="Times New Roman" w:hAnsi="Times New Roman" w:cs="Times New Roman"/>
        </w:rPr>
        <w:t xml:space="preserve">de la réduction de la fécondité et de son impact sur la croissance démographique est attribuable à l’impact du mariage des enfants sur la fécondité totale. </w:t>
      </w:r>
    </w:p>
    <w:p w14:paraId="432D31B4" w14:textId="77777777" w:rsidR="0028280C" w:rsidRPr="004F1330" w:rsidRDefault="0028280C" w:rsidP="0028280C">
      <w:pPr>
        <w:spacing w:line="240" w:lineRule="auto"/>
        <w:jc w:val="both"/>
        <w:rPr>
          <w:rFonts w:ascii="Times New Roman" w:eastAsia="Times New Roman" w:hAnsi="Times New Roman" w:cs="Times New Roman"/>
          <w:i/>
        </w:rPr>
      </w:pPr>
      <w:r w:rsidRPr="00F726C8">
        <w:rPr>
          <w:rFonts w:ascii="Times New Roman" w:eastAsia="Times New Roman" w:hAnsi="Times New Roman" w:cs="Times New Roman"/>
        </w:rPr>
        <w:t>Une meilleure prise en charge de la santé de la reproduction des femmes a certainement un impact réel</w:t>
      </w:r>
      <w:r>
        <w:rPr>
          <w:rFonts w:ascii="Times New Roman" w:eastAsia="Times New Roman" w:hAnsi="Times New Roman" w:cs="Times New Roman"/>
        </w:rPr>
        <w:t xml:space="preserve"> sur</w:t>
      </w:r>
      <w:r w:rsidRPr="00F726C8">
        <w:rPr>
          <w:rFonts w:ascii="Times New Roman" w:eastAsia="Times New Roman" w:hAnsi="Times New Roman" w:cs="Times New Roman"/>
        </w:rPr>
        <w:t xml:space="preserve"> la survie de l’enfant et l’accélération de la transition démographique.</w:t>
      </w:r>
      <w:r w:rsidRPr="00F726C8">
        <w:rPr>
          <w:rFonts w:ascii="Times New Roman" w:eastAsia="Times New Roman" w:hAnsi="Times New Roman" w:cs="Times New Roman"/>
          <w:i/>
        </w:rPr>
        <w:t xml:space="preserve"> </w:t>
      </w:r>
      <w:r w:rsidRPr="00F726C8">
        <w:rPr>
          <w:rFonts w:ascii="Times New Roman" w:eastAsia="Times New Roman" w:hAnsi="Times New Roman" w:cs="Times New Roman"/>
        </w:rPr>
        <w:t xml:space="preserve">Par ailleurs, les femmes accèdent difficilement aux emplois et celles </w:t>
      </w:r>
      <w:r>
        <w:rPr>
          <w:rFonts w:ascii="Times New Roman" w:eastAsia="Times New Roman" w:hAnsi="Times New Roman" w:cs="Times New Roman"/>
        </w:rPr>
        <w:t xml:space="preserve">qui sont </w:t>
      </w:r>
      <w:r w:rsidRPr="00F726C8">
        <w:rPr>
          <w:rFonts w:ascii="Times New Roman" w:eastAsia="Times New Roman" w:hAnsi="Times New Roman" w:cs="Times New Roman"/>
        </w:rPr>
        <w:t>occupées vivent des écarts de rémunération difficilement justifiables. Le fardeau des tâches domestiques limite leur capacité à travailler et cela creuse davantage les disparités de genre en matière de revenus et de productivité, avec comme conséquence la réduction du pouvoir de négociation et la capacité à se faire entendre des femmes.</w:t>
      </w:r>
      <w:r>
        <w:rPr>
          <w:rFonts w:ascii="Times New Roman" w:eastAsia="Times New Roman" w:hAnsi="Times New Roman" w:cs="Times New Roman"/>
          <w:i/>
        </w:rPr>
        <w:t xml:space="preserve"> </w:t>
      </w:r>
      <w:r w:rsidRPr="00F726C8">
        <w:rPr>
          <w:rFonts w:ascii="Times New Roman" w:eastAsia="Times New Roman" w:hAnsi="Times New Roman" w:cs="Times New Roman"/>
        </w:rPr>
        <w:t xml:space="preserve">Tout cela conduit généralement à occulter les contributions des femmes à la production de richesse dans le pays. L’étude la Banque Mondiale de 2018 indique que, « … </w:t>
      </w:r>
      <w:r w:rsidRPr="00F726C8">
        <w:rPr>
          <w:rFonts w:ascii="Times New Roman" w:eastAsia="Times New Roman" w:hAnsi="Times New Roman" w:cs="Times New Roman"/>
          <w:i/>
        </w:rPr>
        <w:t xml:space="preserve">dans des conditions d’égalité entre les genres, le PIB pourrait augmenter d’environ un quart en cas d’égalité des genres, tandis que la population pourrait diminuer de 7 à 10 % selon les hypothèses utilisées. Cela générerait une augmentation du PIB par habitant de près d’un tiers». </w:t>
      </w:r>
    </w:p>
    <w:p w14:paraId="37D8B0A4" w14:textId="4C22843B" w:rsidR="0028280C" w:rsidRPr="00F726C8" w:rsidRDefault="0028280C" w:rsidP="0028280C">
      <w:pPr>
        <w:spacing w:line="240" w:lineRule="auto"/>
        <w:jc w:val="both"/>
        <w:rPr>
          <w:rFonts w:ascii="Times New Roman" w:eastAsia="Times New Roman" w:hAnsi="Times New Roman" w:cs="Times New Roman"/>
        </w:rPr>
      </w:pPr>
      <w:r>
        <w:rPr>
          <w:rFonts w:ascii="Times New Roman" w:eastAsia="Times New Roman" w:hAnsi="Times New Roman" w:cs="Times New Roman"/>
        </w:rPr>
        <w:t>En outre</w:t>
      </w:r>
      <w:r w:rsidRPr="00F726C8">
        <w:rPr>
          <w:rFonts w:ascii="Times New Roman" w:eastAsia="Times New Roman" w:hAnsi="Times New Roman" w:cs="Times New Roman"/>
        </w:rPr>
        <w:t>, les femmes et les enfants sont exposés aux violences basées sur le genre. En effet, les violences manifestées spécifiquement à l’égard des femmes sont la résultante, par int</w:t>
      </w:r>
      <w:r>
        <w:rPr>
          <w:rFonts w:ascii="Times New Roman" w:eastAsia="Times New Roman" w:hAnsi="Times New Roman" w:cs="Times New Roman"/>
        </w:rPr>
        <w:t>ention ou effet, de la domination</w:t>
      </w:r>
      <w:r w:rsidRPr="00F726C8">
        <w:rPr>
          <w:rFonts w:ascii="Times New Roman" w:eastAsia="Times New Roman" w:hAnsi="Times New Roman" w:cs="Times New Roman"/>
        </w:rPr>
        <w:t xml:space="preserve"> masculine dans une société. </w:t>
      </w:r>
      <w:r>
        <w:rPr>
          <w:rFonts w:ascii="Times New Roman" w:eastAsia="Times New Roman" w:hAnsi="Times New Roman" w:cs="Times New Roman"/>
        </w:rPr>
        <w:t>Au cours des</w:t>
      </w:r>
      <w:r w:rsidRPr="00F726C8">
        <w:rPr>
          <w:rFonts w:ascii="Times New Roman" w:eastAsia="Times New Roman" w:hAnsi="Times New Roman" w:cs="Times New Roman"/>
        </w:rPr>
        <w:t xml:space="preserve"> dix dernières années, au Niger comme dans bon nombre de pays en Afrique de l’Ouest, l’inexistence de</w:t>
      </w:r>
      <w:r>
        <w:rPr>
          <w:rFonts w:ascii="Times New Roman" w:eastAsia="Times New Roman" w:hAnsi="Times New Roman" w:cs="Times New Roman"/>
        </w:rPr>
        <w:t xml:space="preserve"> données fiables et complètes n’a pas permis </w:t>
      </w:r>
      <w:r w:rsidRPr="00F726C8">
        <w:rPr>
          <w:rFonts w:ascii="Times New Roman" w:eastAsia="Times New Roman" w:hAnsi="Times New Roman" w:cs="Times New Roman"/>
        </w:rPr>
        <w:t xml:space="preserve">d’avoir une idée plus nette </w:t>
      </w:r>
      <w:r>
        <w:rPr>
          <w:rFonts w:ascii="Times New Roman" w:eastAsia="Times New Roman" w:hAnsi="Times New Roman" w:cs="Times New Roman"/>
        </w:rPr>
        <w:t>de l’ampleur et d</w:t>
      </w:r>
      <w:r w:rsidRPr="00F726C8">
        <w:rPr>
          <w:rFonts w:ascii="Times New Roman" w:eastAsia="Times New Roman" w:hAnsi="Times New Roman" w:cs="Times New Roman"/>
        </w:rPr>
        <w:t xml:space="preserve">es déterminants de cette pratique. Or, </w:t>
      </w:r>
      <w:r>
        <w:rPr>
          <w:rFonts w:ascii="Times New Roman" w:eastAsia="Times New Roman" w:hAnsi="Times New Roman" w:cs="Times New Roman"/>
        </w:rPr>
        <w:t>c</w:t>
      </w:r>
      <w:r w:rsidRPr="00F726C8">
        <w:rPr>
          <w:rFonts w:ascii="Times New Roman" w:eastAsia="Times New Roman" w:hAnsi="Times New Roman" w:cs="Times New Roman"/>
        </w:rPr>
        <w:t>elle</w:t>
      </w:r>
      <w:r>
        <w:rPr>
          <w:rFonts w:ascii="Times New Roman" w:eastAsia="Times New Roman" w:hAnsi="Times New Roman" w:cs="Times New Roman"/>
        </w:rPr>
        <w:t>-ci</w:t>
      </w:r>
      <w:r w:rsidRPr="00F726C8">
        <w:rPr>
          <w:rFonts w:ascii="Times New Roman" w:eastAsia="Times New Roman" w:hAnsi="Times New Roman" w:cs="Times New Roman"/>
        </w:rPr>
        <w:t xml:space="preserve"> </w:t>
      </w:r>
      <w:r>
        <w:rPr>
          <w:rFonts w:ascii="Times New Roman" w:eastAsia="Times New Roman" w:hAnsi="Times New Roman" w:cs="Times New Roman"/>
        </w:rPr>
        <w:t xml:space="preserve">a souillé la </w:t>
      </w:r>
      <w:r w:rsidRPr="00F726C8">
        <w:rPr>
          <w:rFonts w:ascii="Times New Roman" w:eastAsia="Times New Roman" w:hAnsi="Times New Roman" w:cs="Times New Roman"/>
        </w:rPr>
        <w:t>dignité</w:t>
      </w:r>
      <w:r>
        <w:rPr>
          <w:rFonts w:ascii="Times New Roman" w:eastAsia="Times New Roman" w:hAnsi="Times New Roman" w:cs="Times New Roman"/>
        </w:rPr>
        <w:t xml:space="preserve"> des survivantes notamment des femmes, des enfants et d</w:t>
      </w:r>
      <w:r w:rsidRPr="00F726C8">
        <w:rPr>
          <w:rFonts w:ascii="Times New Roman" w:eastAsia="Times New Roman" w:hAnsi="Times New Roman" w:cs="Times New Roman"/>
        </w:rPr>
        <w:t xml:space="preserve">es jeunes filles malgré </w:t>
      </w:r>
      <w:r>
        <w:rPr>
          <w:rFonts w:ascii="Times New Roman" w:eastAsia="Times New Roman" w:hAnsi="Times New Roman" w:cs="Times New Roman"/>
        </w:rPr>
        <w:t xml:space="preserve">l’existence de quelques lois </w:t>
      </w:r>
      <w:r w:rsidRPr="00F726C8">
        <w:rPr>
          <w:rFonts w:ascii="Times New Roman" w:eastAsia="Times New Roman" w:hAnsi="Times New Roman" w:cs="Times New Roman"/>
        </w:rPr>
        <w:t>et la condamnation au niveau communautaire de quelques-unes de ces pratiques. Ainsi, en 2015, pour</w:t>
      </w:r>
      <w:r>
        <w:rPr>
          <w:rFonts w:ascii="Times New Roman" w:eastAsia="Times New Roman" w:hAnsi="Times New Roman" w:cs="Times New Roman"/>
        </w:rPr>
        <w:t xml:space="preserve"> remédier à </w:t>
      </w:r>
      <w:r w:rsidRPr="00F726C8">
        <w:rPr>
          <w:rFonts w:ascii="Times New Roman" w:eastAsia="Times New Roman" w:hAnsi="Times New Roman" w:cs="Times New Roman"/>
        </w:rPr>
        <w:t xml:space="preserve">cette limite </w:t>
      </w:r>
      <w:r>
        <w:rPr>
          <w:rFonts w:ascii="Times New Roman" w:eastAsia="Times New Roman" w:hAnsi="Times New Roman" w:cs="Times New Roman"/>
        </w:rPr>
        <w:t>de</w:t>
      </w:r>
      <w:r w:rsidRPr="00F726C8">
        <w:rPr>
          <w:rFonts w:ascii="Times New Roman" w:eastAsia="Times New Roman" w:hAnsi="Times New Roman" w:cs="Times New Roman"/>
        </w:rPr>
        <w:t xml:space="preserve"> l’appr</w:t>
      </w:r>
      <w:r>
        <w:rPr>
          <w:rFonts w:ascii="Times New Roman" w:eastAsia="Times New Roman" w:hAnsi="Times New Roman" w:cs="Times New Roman"/>
        </w:rPr>
        <w:t xml:space="preserve">éciation des VBG à la suite de </w:t>
      </w:r>
      <w:r w:rsidRPr="00F726C8">
        <w:rPr>
          <w:rFonts w:ascii="Times New Roman" w:eastAsia="Times New Roman" w:hAnsi="Times New Roman" w:cs="Times New Roman"/>
        </w:rPr>
        <w:t xml:space="preserve">la demande générale de tous les acteurs intervenant dans le domaine, </w:t>
      </w:r>
      <w:r>
        <w:rPr>
          <w:rFonts w:ascii="Times New Roman" w:eastAsia="Times New Roman" w:hAnsi="Times New Roman" w:cs="Times New Roman"/>
        </w:rPr>
        <w:t xml:space="preserve">et à </w:t>
      </w:r>
      <w:r w:rsidRPr="00F726C8">
        <w:rPr>
          <w:rFonts w:ascii="Times New Roman" w:eastAsia="Times New Roman" w:hAnsi="Times New Roman" w:cs="Times New Roman"/>
        </w:rPr>
        <w:t>la requête du Ministère de la Promotion de la Femme et de la Protection de l’Enfant</w:t>
      </w:r>
      <w:r>
        <w:rPr>
          <w:rFonts w:ascii="Times New Roman" w:eastAsia="Times New Roman" w:hAnsi="Times New Roman" w:cs="Times New Roman"/>
        </w:rPr>
        <w:t xml:space="preserve">, un appui technique et financier fût mobilisé pour </w:t>
      </w:r>
      <w:r w:rsidRPr="00F726C8">
        <w:rPr>
          <w:rFonts w:ascii="Times New Roman" w:eastAsia="Times New Roman" w:hAnsi="Times New Roman" w:cs="Times New Roman"/>
        </w:rPr>
        <w:t>la réalisation de la première étude nationale sur « l’ampleur et les déterminants des VBG au Niger »</w:t>
      </w:r>
      <w:r>
        <w:rPr>
          <w:rStyle w:val="Appelnotedebasdep"/>
          <w:rFonts w:ascii="Times New Roman" w:eastAsia="Times New Roman" w:hAnsi="Times New Roman" w:cs="Times New Roman"/>
        </w:rPr>
        <w:footnoteReference w:id="130"/>
      </w:r>
      <w:r w:rsidRPr="00F726C8">
        <w:rPr>
          <w:rFonts w:ascii="Times New Roman" w:eastAsia="Times New Roman" w:hAnsi="Times New Roman" w:cs="Times New Roman"/>
        </w:rPr>
        <w:t>.</w:t>
      </w:r>
    </w:p>
    <w:p w14:paraId="0EFD4CC9" w14:textId="77777777" w:rsidR="0028280C" w:rsidRDefault="0028280C" w:rsidP="0028280C">
      <w:pPr>
        <w:spacing w:line="240" w:lineRule="auto"/>
        <w:jc w:val="both"/>
        <w:rPr>
          <w:rFonts w:ascii="Times New Roman" w:eastAsia="Times New Roman" w:hAnsi="Times New Roman" w:cs="Times New Roman"/>
        </w:rPr>
      </w:pPr>
      <w:r w:rsidRPr="00F726C8">
        <w:rPr>
          <w:rFonts w:ascii="Times New Roman" w:eastAsia="Times New Roman" w:hAnsi="Times New Roman" w:cs="Times New Roman"/>
        </w:rPr>
        <w:t>En 2021, cette étude a été reprise. Ainsi, les résultats obtenus indiquent que les femmes restent dans l’ensemble les plus touchées par le phénomène. Ainsi, la prévalence globale des VBG au cours de la vie est de 29,0%, soit respectivement 38,2% chez les femmes et 16,3% chez les hommes. Au cours des 12 derniers mois ayant précédé l’enquête, la prévalence globale des VBG est de 4,8%, soit 7,8% chez les femmes et 2,0% chez les hommes. Parmi les enquêtés ayant déclaré avoir déjà subi une VBG au cours de leur vie, 10,0% ont été victimes d’une VBG au cours des douze derniers mois ayant précédé l’enquête, soit 13,8% chez les f</w:t>
      </w:r>
      <w:r>
        <w:rPr>
          <w:rFonts w:ascii="Times New Roman" w:eastAsia="Times New Roman" w:hAnsi="Times New Roman" w:cs="Times New Roman"/>
        </w:rPr>
        <w:t xml:space="preserve">emmes et 4,9% chez les hommes. </w:t>
      </w:r>
      <w:r w:rsidRPr="00F726C8">
        <w:rPr>
          <w:rFonts w:ascii="Times New Roman" w:eastAsia="Times New Roman" w:hAnsi="Times New Roman" w:cs="Times New Roman"/>
        </w:rPr>
        <w:t>Le phénomène reste préoccupant.</w:t>
      </w:r>
    </w:p>
    <w:p w14:paraId="704541D8" w14:textId="552AAB01" w:rsidR="00C0580E" w:rsidRPr="00C0580E" w:rsidRDefault="00C0580E" w:rsidP="00C0580E">
      <w:pPr>
        <w:jc w:val="both"/>
        <w:rPr>
          <w:rFonts w:ascii="Times New Roman" w:eastAsia="Times New Roman" w:hAnsi="Times New Roman" w:cs="Times New Roman"/>
        </w:rPr>
      </w:pPr>
      <w:r>
        <w:rPr>
          <w:rFonts w:ascii="Times New Roman" w:eastAsia="Times New Roman" w:hAnsi="Times New Roman" w:cs="Times New Roman"/>
        </w:rPr>
        <w:t xml:space="preserve">Au plan politique, </w:t>
      </w:r>
      <w:r w:rsidRPr="00C0580E">
        <w:rPr>
          <w:rFonts w:ascii="Times New Roman" w:eastAsia="Times New Roman" w:hAnsi="Times New Roman" w:cs="Times New Roman"/>
        </w:rPr>
        <w:t xml:space="preserve">les femmes représentent désormais, à l’issue de l’élection de 2020, 29% des députés alors qu’elles n’occupaient que moins de 17% de sièges en 2016 et 1,2% en 2000. En dépit de l’accroissement significatif de la représentativité des femmes à l’Assemblée nationale qui témoigne   de l’efficacité de la loi sur les quotas révisés en 2019, aucune femme ne s’est présentée à l’élection présidentielle de 2020 et seules 3 femmes ont été nommées dans le gouvernement d’avril 2021 comportant 33 postes ministériels soit 15,15% de représentation alors que la loi sur le quota fixe un minimum de 30% pour les postes de nominations aux hautes fonctions de l’Etat. Au niveau local, on dénombre en 2019 1212 femmes élues sur un total de 3699 conseillers communaux, soit 32,76% alors qu’à l’issue des élections de 2011, les femmes ne représentaient que 15,88% (639 femmes sur 3676 élus locaux). Cette situation témoigne d’un faible respect du cadre légal et réglementaire pouvant être dû en partie, à une persistance des barrières culturelles. </w:t>
      </w:r>
    </w:p>
    <w:p w14:paraId="26778041" w14:textId="7607BB16" w:rsidR="0028280C" w:rsidRPr="00840B67" w:rsidRDefault="0028280C" w:rsidP="0028280C">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En définitive, il est incontestable que des efforts encourageants ont été accomplis pour le respect, la protection et la promotion des droits fondamentaux des femmes et des filles. Cependant, le pays reste </w:t>
      </w:r>
      <w:r>
        <w:rPr>
          <w:rFonts w:ascii="Times New Roman" w:eastAsia="Times New Roman" w:hAnsi="Times New Roman" w:cs="Times New Roman"/>
        </w:rPr>
        <w:lastRenderedPageBreak/>
        <w:t>confronté aux problèmes majeurs ci-après : (i) L’</w:t>
      </w:r>
      <w:r w:rsidRPr="00F726C8">
        <w:rPr>
          <w:rFonts w:ascii="Times New Roman" w:eastAsia="Times New Roman" w:hAnsi="Times New Roman" w:cs="Times New Roman"/>
          <w:color w:val="000000" w:themeColor="text1"/>
        </w:rPr>
        <w:t xml:space="preserve">indice d’inégalité de genre </w:t>
      </w:r>
      <w:r>
        <w:rPr>
          <w:rFonts w:ascii="Times New Roman" w:eastAsia="Times New Roman" w:hAnsi="Times New Roman" w:cs="Times New Roman"/>
          <w:color w:val="000000" w:themeColor="text1"/>
        </w:rPr>
        <w:t xml:space="preserve">demeure très élevé ; (ii) Le taux d’achèvement </w:t>
      </w:r>
      <w:r w:rsidRPr="00F726C8">
        <w:rPr>
          <w:rFonts w:ascii="Times New Roman" w:eastAsia="Times New Roman" w:hAnsi="Times New Roman" w:cs="Times New Roman"/>
          <w:color w:val="000000" w:themeColor="text1"/>
        </w:rPr>
        <w:t>des études primaires et secondaires</w:t>
      </w:r>
      <w:r>
        <w:rPr>
          <w:rFonts w:ascii="Times New Roman" w:eastAsia="Times New Roman" w:hAnsi="Times New Roman" w:cs="Times New Roman"/>
          <w:color w:val="000000" w:themeColor="text1"/>
        </w:rPr>
        <w:t xml:space="preserve"> des filles par rapport aux </w:t>
      </w:r>
      <w:r w:rsidRPr="00F726C8">
        <w:rPr>
          <w:rFonts w:ascii="Times New Roman" w:eastAsia="Times New Roman" w:hAnsi="Times New Roman" w:cs="Times New Roman"/>
          <w:color w:val="000000" w:themeColor="text1"/>
        </w:rPr>
        <w:t>garçons</w:t>
      </w:r>
      <w:r>
        <w:rPr>
          <w:rFonts w:ascii="Times New Roman" w:eastAsia="Times New Roman" w:hAnsi="Times New Roman" w:cs="Times New Roman"/>
          <w:color w:val="000000" w:themeColor="text1"/>
        </w:rPr>
        <w:t xml:space="preserve"> reste faible en raison des grossesses et des mariages précoces ; (iii)  L</w:t>
      </w:r>
      <w:r w:rsidRPr="00F726C8">
        <w:rPr>
          <w:rFonts w:ascii="Times New Roman" w:eastAsia="Times New Roman" w:hAnsi="Times New Roman" w:cs="Times New Roman"/>
        </w:rPr>
        <w:t xml:space="preserve">es femmes et les enfants </w:t>
      </w:r>
      <w:r>
        <w:rPr>
          <w:rFonts w:ascii="Times New Roman" w:eastAsia="Times New Roman" w:hAnsi="Times New Roman" w:cs="Times New Roman"/>
        </w:rPr>
        <w:t xml:space="preserve">particulièrement les filles </w:t>
      </w:r>
      <w:r w:rsidRPr="00F726C8">
        <w:rPr>
          <w:rFonts w:ascii="Times New Roman" w:eastAsia="Times New Roman" w:hAnsi="Times New Roman" w:cs="Times New Roman"/>
        </w:rPr>
        <w:t>sont exposés aux violences basées sur le genre</w:t>
      </w:r>
      <w:r>
        <w:rPr>
          <w:rFonts w:ascii="Times New Roman" w:eastAsia="Times New Roman" w:hAnsi="Times New Roman" w:cs="Times New Roman"/>
        </w:rPr>
        <w:t> ; (iv) L’accès d</w:t>
      </w:r>
      <w:r w:rsidRPr="00F726C8">
        <w:rPr>
          <w:rFonts w:ascii="Times New Roman" w:eastAsia="Times New Roman" w:hAnsi="Times New Roman" w:cs="Times New Roman"/>
        </w:rPr>
        <w:t xml:space="preserve">es femmes aux emplois </w:t>
      </w:r>
      <w:r>
        <w:rPr>
          <w:rFonts w:ascii="Times New Roman" w:eastAsia="Times New Roman" w:hAnsi="Times New Roman" w:cs="Times New Roman"/>
        </w:rPr>
        <w:t xml:space="preserve">reste difficile et limité </w:t>
      </w:r>
      <w:r w:rsidRPr="00F726C8">
        <w:rPr>
          <w:rFonts w:ascii="Times New Roman" w:eastAsia="Times New Roman" w:hAnsi="Times New Roman" w:cs="Times New Roman"/>
        </w:rPr>
        <w:t xml:space="preserve">et </w:t>
      </w:r>
      <w:r>
        <w:rPr>
          <w:rFonts w:ascii="Times New Roman" w:eastAsia="Times New Roman" w:hAnsi="Times New Roman" w:cs="Times New Roman"/>
        </w:rPr>
        <w:t>l</w:t>
      </w:r>
      <w:r w:rsidRPr="00F726C8">
        <w:rPr>
          <w:rFonts w:ascii="Times New Roman" w:eastAsia="Times New Roman" w:hAnsi="Times New Roman" w:cs="Times New Roman"/>
        </w:rPr>
        <w:t>es écarts de rémunération</w:t>
      </w:r>
      <w:r>
        <w:rPr>
          <w:rFonts w:ascii="Times New Roman" w:eastAsia="Times New Roman" w:hAnsi="Times New Roman" w:cs="Times New Roman"/>
        </w:rPr>
        <w:t xml:space="preserve"> sont courants </w:t>
      </w:r>
      <w:r w:rsidR="00E0093B">
        <w:rPr>
          <w:rFonts w:ascii="Times New Roman" w:eastAsia="Times New Roman" w:hAnsi="Times New Roman" w:cs="Times New Roman"/>
        </w:rPr>
        <w:t xml:space="preserve">et </w:t>
      </w:r>
      <w:r>
        <w:rPr>
          <w:rFonts w:ascii="Times New Roman" w:eastAsia="Times New Roman" w:hAnsi="Times New Roman" w:cs="Times New Roman"/>
        </w:rPr>
        <w:t xml:space="preserve">difficilement justifiables ; (v) </w:t>
      </w:r>
      <w:r w:rsidRPr="00F726C8">
        <w:rPr>
          <w:rFonts w:ascii="Times New Roman" w:eastAsia="Times New Roman" w:hAnsi="Times New Roman" w:cs="Times New Roman"/>
        </w:rPr>
        <w:t xml:space="preserve">Le fardeau des tâches domestiques </w:t>
      </w:r>
      <w:r>
        <w:rPr>
          <w:rFonts w:ascii="Times New Roman" w:eastAsia="Times New Roman" w:hAnsi="Times New Roman" w:cs="Times New Roman"/>
        </w:rPr>
        <w:t xml:space="preserve">pénalisent </w:t>
      </w:r>
      <w:r w:rsidRPr="00F726C8">
        <w:rPr>
          <w:rFonts w:ascii="Times New Roman" w:eastAsia="Times New Roman" w:hAnsi="Times New Roman" w:cs="Times New Roman"/>
        </w:rPr>
        <w:t>davantage les</w:t>
      </w:r>
      <w:r>
        <w:rPr>
          <w:rFonts w:ascii="Times New Roman" w:eastAsia="Times New Roman" w:hAnsi="Times New Roman" w:cs="Times New Roman"/>
        </w:rPr>
        <w:t xml:space="preserve"> femmes et les filles dont le </w:t>
      </w:r>
      <w:r w:rsidRPr="00F726C8">
        <w:rPr>
          <w:rFonts w:ascii="Times New Roman" w:eastAsia="Times New Roman" w:hAnsi="Times New Roman" w:cs="Times New Roman"/>
        </w:rPr>
        <w:t xml:space="preserve">pouvoir de négociation et la capacité à se faire entendre </w:t>
      </w:r>
      <w:r>
        <w:rPr>
          <w:rFonts w:ascii="Times New Roman" w:eastAsia="Times New Roman" w:hAnsi="Times New Roman" w:cs="Times New Roman"/>
        </w:rPr>
        <w:t xml:space="preserve">sont généralement faibles. </w:t>
      </w:r>
    </w:p>
    <w:p w14:paraId="51801128" w14:textId="77777777" w:rsidR="0028280C" w:rsidRPr="00E25B1F" w:rsidRDefault="0028280C" w:rsidP="00E25B1F">
      <w:pPr>
        <w:pStyle w:val="Titre1"/>
        <w:rPr>
          <w:rFonts w:ascii="Bernard MT Condensed" w:hAnsi="Bernard MT Condensed"/>
          <w:sz w:val="28"/>
          <w:szCs w:val="28"/>
        </w:rPr>
      </w:pPr>
      <w:bookmarkStart w:id="406" w:name="_Toc84789698"/>
      <w:bookmarkStart w:id="407" w:name="_Toc86687764"/>
      <w:bookmarkStart w:id="408" w:name="_Toc89479446"/>
      <w:bookmarkStart w:id="409" w:name="_Toc89480944"/>
      <w:bookmarkStart w:id="410" w:name="_Toc94480186"/>
      <w:bookmarkStart w:id="411" w:name="_Toc94481847"/>
      <w:bookmarkStart w:id="412" w:name="_Toc94482110"/>
      <w:r w:rsidRPr="00E25B1F">
        <w:rPr>
          <w:rFonts w:ascii="Bernard MT Condensed" w:hAnsi="Bernard MT Condensed"/>
          <w:sz w:val="28"/>
          <w:szCs w:val="28"/>
        </w:rPr>
        <w:t>VI -  Analyse des vulnérabilités</w:t>
      </w:r>
      <w:bookmarkEnd w:id="406"/>
      <w:bookmarkEnd w:id="407"/>
      <w:bookmarkEnd w:id="408"/>
      <w:bookmarkEnd w:id="409"/>
      <w:bookmarkEnd w:id="410"/>
      <w:bookmarkEnd w:id="411"/>
      <w:bookmarkEnd w:id="412"/>
    </w:p>
    <w:p w14:paraId="77F3CAE3" w14:textId="41BC1B16" w:rsidR="00A26656" w:rsidRPr="003C5BA0" w:rsidRDefault="00A26656" w:rsidP="003C5BA0">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Selon le rapport sur l’indice de développement humain publié en 2020 par </w:t>
      </w:r>
      <w:r w:rsidR="003C5BA0">
        <w:rPr>
          <w:rFonts w:ascii="Times New Roman" w:eastAsia="Times New Roman" w:hAnsi="Times New Roman" w:cs="Times New Roman"/>
        </w:rPr>
        <w:t>le</w:t>
      </w:r>
      <w:r>
        <w:rPr>
          <w:rFonts w:ascii="Times New Roman" w:eastAsia="Times New Roman" w:hAnsi="Times New Roman" w:cs="Times New Roman"/>
        </w:rPr>
        <w:t xml:space="preserve"> PNUD, le Niger est classé 189</w:t>
      </w:r>
      <w:r w:rsidRPr="00960B6E">
        <w:rPr>
          <w:rFonts w:ascii="Times New Roman" w:eastAsia="Times New Roman" w:hAnsi="Times New Roman" w:cs="Times New Roman"/>
          <w:vertAlign w:val="superscript"/>
        </w:rPr>
        <w:t>ème</w:t>
      </w:r>
      <w:r>
        <w:rPr>
          <w:rFonts w:ascii="Times New Roman" w:eastAsia="Times New Roman" w:hAnsi="Times New Roman" w:cs="Times New Roman"/>
        </w:rPr>
        <w:t xml:space="preserve"> sur 189 pays classés. </w:t>
      </w:r>
      <w:r w:rsidR="003C5BA0">
        <w:rPr>
          <w:rFonts w:ascii="Times New Roman" w:eastAsia="Times New Roman" w:hAnsi="Times New Roman" w:cs="Times New Roman"/>
        </w:rPr>
        <w:t>En 2020, la Banque Mondiale a estimé l</w:t>
      </w:r>
      <w:r>
        <w:rPr>
          <w:rFonts w:ascii="Times New Roman" w:eastAsia="Times New Roman" w:hAnsi="Times New Roman" w:cs="Times New Roman"/>
        </w:rPr>
        <w:t>e niveau d’extrême pauvreté à 42,9% de la population du pays.</w:t>
      </w:r>
      <w:r w:rsidR="003C5BA0">
        <w:rPr>
          <w:rFonts w:ascii="Times New Roman" w:eastAsia="Times New Roman" w:hAnsi="Times New Roman" w:cs="Times New Roman"/>
        </w:rPr>
        <w:t xml:space="preserve"> </w:t>
      </w:r>
      <w:r>
        <w:rPr>
          <w:rFonts w:ascii="Times New Roman" w:hAnsi="Times New Roman" w:cs="Times New Roman"/>
          <w:color w:val="202122"/>
          <w:shd w:val="clear" w:color="auto" w:fill="FFFFFF"/>
        </w:rPr>
        <w:t xml:space="preserve">Le Niger est confronté </w:t>
      </w:r>
      <w:r w:rsidR="003C5BA0" w:rsidRPr="003C5BA0">
        <w:rPr>
          <w:rFonts w:ascii="Times New Roman" w:eastAsia="Times New Roman" w:hAnsi="Times New Roman" w:cs="Times New Roman"/>
        </w:rPr>
        <w:t>à</w:t>
      </w:r>
      <w:r w:rsidRPr="003C5BA0">
        <w:rPr>
          <w:rFonts w:ascii="Times New Roman" w:eastAsia="Times New Roman" w:hAnsi="Times New Roman" w:cs="Times New Roman"/>
        </w:rPr>
        <w:t xml:space="preserve"> 10</w:t>
      </w:r>
      <w:r w:rsidR="003C5BA0" w:rsidRPr="003C5BA0">
        <w:rPr>
          <w:rFonts w:ascii="Times New Roman" w:eastAsia="Times New Roman" w:hAnsi="Times New Roman" w:cs="Times New Roman"/>
        </w:rPr>
        <w:t xml:space="preserve"> cau</w:t>
      </w:r>
      <w:r w:rsidRPr="003C5BA0">
        <w:rPr>
          <w:rFonts w:ascii="Times New Roman" w:eastAsia="Times New Roman" w:hAnsi="Times New Roman" w:cs="Times New Roman"/>
        </w:rPr>
        <w:t>ses d’inégalités à savoir : l’éducation, la santé, l’emploi, l’accès à la terre, le mariage des enfants, la participation des jeunes à la vie publique, le changement climatique, le déplacement de la population, les inégalités spécifiques et la pandémie d</w:t>
      </w:r>
      <w:r w:rsidR="00E0093B">
        <w:rPr>
          <w:rFonts w:ascii="Times New Roman" w:eastAsia="Times New Roman" w:hAnsi="Times New Roman" w:cs="Times New Roman"/>
        </w:rPr>
        <w:t>e la</w:t>
      </w:r>
      <w:r w:rsidRPr="003C5BA0">
        <w:rPr>
          <w:rFonts w:ascii="Times New Roman" w:eastAsia="Times New Roman" w:hAnsi="Times New Roman" w:cs="Times New Roman"/>
        </w:rPr>
        <w:t xml:space="preserve"> Covid-19. Ces inégalités touchent toute la population et toutes les couches sociales.</w:t>
      </w:r>
      <w:r w:rsidRPr="00181F23">
        <w:rPr>
          <w:rFonts w:asciiTheme="majorBidi" w:hAnsiTheme="majorBidi" w:cstheme="majorBidi"/>
        </w:rPr>
        <w:t xml:space="preserve"> </w:t>
      </w:r>
      <w:r>
        <w:rPr>
          <w:rFonts w:asciiTheme="majorBidi" w:hAnsiTheme="majorBidi" w:cstheme="majorBidi"/>
        </w:rPr>
        <w:t>Bien que les données désagrégées soient manquantes, et e</w:t>
      </w:r>
      <w:r w:rsidRPr="00BE6119">
        <w:rPr>
          <w:rFonts w:asciiTheme="majorBidi" w:hAnsiTheme="majorBidi" w:cstheme="majorBidi"/>
        </w:rPr>
        <w:t xml:space="preserve">n croisant </w:t>
      </w:r>
      <w:r>
        <w:rPr>
          <w:rFonts w:asciiTheme="majorBidi" w:hAnsiTheme="majorBidi" w:cstheme="majorBidi"/>
        </w:rPr>
        <w:t xml:space="preserve">les différentes sources et </w:t>
      </w:r>
      <w:r w:rsidRPr="00BE6119">
        <w:rPr>
          <w:rFonts w:asciiTheme="majorBidi" w:hAnsiTheme="majorBidi" w:cstheme="majorBidi"/>
        </w:rPr>
        <w:t>ces multiples facteurs, on identifie les groupes les plus vulnérables suivants :</w:t>
      </w:r>
    </w:p>
    <w:p w14:paraId="56AEFC3F" w14:textId="4CC58FE6" w:rsidR="00A26656" w:rsidRDefault="00A26656" w:rsidP="003C5BA0">
      <w:pPr>
        <w:pStyle w:val="Default"/>
        <w:numPr>
          <w:ilvl w:val="0"/>
          <w:numId w:val="30"/>
        </w:numPr>
        <w:jc w:val="both"/>
        <w:rPr>
          <w:rFonts w:asciiTheme="majorBidi" w:hAnsiTheme="majorBidi" w:cstheme="majorBidi"/>
          <w:sz w:val="22"/>
          <w:szCs w:val="22"/>
        </w:rPr>
      </w:pPr>
      <w:r w:rsidRPr="00A26656">
        <w:rPr>
          <w:rFonts w:asciiTheme="majorBidi" w:hAnsiTheme="majorBidi" w:cstheme="majorBidi"/>
          <w:b/>
          <w:i/>
          <w:sz w:val="22"/>
          <w:szCs w:val="22"/>
        </w:rPr>
        <w:t>Groupe 1</w:t>
      </w:r>
      <w:r w:rsidRPr="00BE6119">
        <w:rPr>
          <w:rFonts w:asciiTheme="majorBidi" w:hAnsiTheme="majorBidi" w:cstheme="majorBidi"/>
          <w:sz w:val="22"/>
          <w:szCs w:val="22"/>
        </w:rPr>
        <w:t xml:space="preserve"> : Femmes mariées en âge précoce, avec un bas niveau d’instruction ou analphabètes, vivant en zones rurales </w:t>
      </w:r>
      <w:r>
        <w:rPr>
          <w:rFonts w:asciiTheme="majorBidi" w:hAnsiTheme="majorBidi" w:cstheme="majorBidi"/>
          <w:sz w:val="22"/>
          <w:szCs w:val="22"/>
        </w:rPr>
        <w:t xml:space="preserve">et/ ou affectées soit par un conflit, par l’insécurité alimentaire, </w:t>
      </w:r>
      <w:r w:rsidRPr="00BE6119">
        <w:rPr>
          <w:rFonts w:asciiTheme="majorBidi" w:hAnsiTheme="majorBidi" w:cstheme="majorBidi"/>
          <w:sz w:val="22"/>
          <w:szCs w:val="22"/>
        </w:rPr>
        <w:t>soit par le changement climatique, particulièrement celles vivant avec un handicap et/ou victime de violence basée sur le ge</w:t>
      </w:r>
      <w:r w:rsidR="003C5BA0">
        <w:rPr>
          <w:rFonts w:asciiTheme="majorBidi" w:hAnsiTheme="majorBidi" w:cstheme="majorBidi"/>
          <w:sz w:val="22"/>
          <w:szCs w:val="22"/>
        </w:rPr>
        <w:t>nre ; et celles en déplacement.</w:t>
      </w:r>
    </w:p>
    <w:p w14:paraId="522E5121" w14:textId="77777777" w:rsidR="003C5BA0" w:rsidRPr="00BE6119" w:rsidRDefault="003C5BA0" w:rsidP="00A26656">
      <w:pPr>
        <w:pStyle w:val="Default"/>
        <w:jc w:val="both"/>
        <w:rPr>
          <w:rFonts w:asciiTheme="majorBidi" w:hAnsiTheme="majorBidi" w:cstheme="majorBidi"/>
          <w:sz w:val="22"/>
          <w:szCs w:val="22"/>
        </w:rPr>
      </w:pPr>
    </w:p>
    <w:p w14:paraId="120FDCF3" w14:textId="766D8974" w:rsidR="00A26656" w:rsidRPr="00BE6119" w:rsidRDefault="00A26656" w:rsidP="003C5BA0">
      <w:pPr>
        <w:pStyle w:val="Default"/>
        <w:numPr>
          <w:ilvl w:val="0"/>
          <w:numId w:val="30"/>
        </w:numPr>
        <w:jc w:val="both"/>
        <w:rPr>
          <w:rFonts w:asciiTheme="majorBidi" w:hAnsiTheme="majorBidi" w:cstheme="majorBidi"/>
          <w:sz w:val="22"/>
          <w:szCs w:val="22"/>
        </w:rPr>
      </w:pPr>
      <w:r w:rsidRPr="00A26656">
        <w:rPr>
          <w:rFonts w:asciiTheme="majorBidi" w:hAnsiTheme="majorBidi" w:cstheme="majorBidi"/>
          <w:b/>
          <w:i/>
          <w:sz w:val="22"/>
          <w:szCs w:val="22"/>
        </w:rPr>
        <w:t>Groupe 2</w:t>
      </w:r>
      <w:r w:rsidRPr="00BE6119">
        <w:rPr>
          <w:rFonts w:asciiTheme="majorBidi" w:hAnsiTheme="majorBidi" w:cstheme="majorBidi"/>
          <w:sz w:val="22"/>
          <w:szCs w:val="22"/>
        </w:rPr>
        <w:t xml:space="preserve"> : Hommes et femmes vivant dans une des </w:t>
      </w:r>
      <w:r>
        <w:rPr>
          <w:rFonts w:asciiTheme="majorBidi" w:hAnsiTheme="majorBidi" w:cstheme="majorBidi"/>
          <w:sz w:val="22"/>
          <w:szCs w:val="22"/>
        </w:rPr>
        <w:t xml:space="preserve">régions </w:t>
      </w:r>
      <w:r w:rsidRPr="00BE6119">
        <w:rPr>
          <w:rFonts w:asciiTheme="majorBidi" w:hAnsiTheme="majorBidi" w:cstheme="majorBidi"/>
          <w:sz w:val="22"/>
          <w:szCs w:val="22"/>
        </w:rPr>
        <w:t>les plus pauvres du pays</w:t>
      </w:r>
      <w:r>
        <w:rPr>
          <w:rFonts w:asciiTheme="majorBidi" w:hAnsiTheme="majorBidi" w:cstheme="majorBidi"/>
          <w:sz w:val="22"/>
          <w:szCs w:val="22"/>
        </w:rPr>
        <w:t xml:space="preserve"> (Zinder, Dosso et Maradi)</w:t>
      </w:r>
      <w:r w:rsidRPr="00BE6119">
        <w:rPr>
          <w:rFonts w:asciiTheme="majorBidi" w:hAnsiTheme="majorBidi" w:cstheme="majorBidi"/>
          <w:sz w:val="22"/>
          <w:szCs w:val="22"/>
        </w:rPr>
        <w:t>, ayant un accès très li</w:t>
      </w:r>
      <w:r w:rsidR="00E0093B">
        <w:rPr>
          <w:rFonts w:asciiTheme="majorBidi" w:hAnsiTheme="majorBidi" w:cstheme="majorBidi"/>
          <w:sz w:val="22"/>
          <w:szCs w:val="22"/>
        </w:rPr>
        <w:t>mité</w:t>
      </w:r>
      <w:r>
        <w:rPr>
          <w:rFonts w:asciiTheme="majorBidi" w:hAnsiTheme="majorBidi" w:cstheme="majorBidi"/>
          <w:sz w:val="22"/>
          <w:szCs w:val="22"/>
        </w:rPr>
        <w:t xml:space="preserve"> aux services de base (santé</w:t>
      </w:r>
      <w:r w:rsidRPr="00BE6119">
        <w:rPr>
          <w:rFonts w:asciiTheme="majorBidi" w:hAnsiTheme="majorBidi" w:cstheme="majorBidi"/>
          <w:sz w:val="22"/>
          <w:szCs w:val="22"/>
        </w:rPr>
        <w:t xml:space="preserve">, éducation, </w:t>
      </w:r>
      <w:r>
        <w:rPr>
          <w:rFonts w:asciiTheme="majorBidi" w:hAnsiTheme="majorBidi" w:cstheme="majorBidi"/>
          <w:sz w:val="22"/>
          <w:szCs w:val="22"/>
        </w:rPr>
        <w:t xml:space="preserve">nourriture </w:t>
      </w:r>
      <w:r w:rsidRPr="00BE6119">
        <w:rPr>
          <w:rFonts w:asciiTheme="majorBidi" w:hAnsiTheme="majorBidi" w:cstheme="majorBidi"/>
          <w:sz w:val="22"/>
          <w:szCs w:val="22"/>
        </w:rPr>
        <w:t>etc.) et aux ressources (comme la terre, l’eau et équipement agricole), en particulier ceux qui vivent avec un handicap et ceux qui ont été victimes d’un conflit et/ou d’un déplacement.</w:t>
      </w:r>
    </w:p>
    <w:p w14:paraId="059C0483" w14:textId="77777777" w:rsidR="00A26656" w:rsidRPr="00BE6119" w:rsidRDefault="00A26656" w:rsidP="00A26656">
      <w:pPr>
        <w:pStyle w:val="Default"/>
        <w:jc w:val="both"/>
        <w:rPr>
          <w:rFonts w:asciiTheme="majorBidi" w:hAnsiTheme="majorBidi" w:cstheme="majorBidi"/>
          <w:sz w:val="22"/>
          <w:szCs w:val="22"/>
        </w:rPr>
      </w:pPr>
    </w:p>
    <w:p w14:paraId="4D65CBD6" w14:textId="77777777" w:rsidR="00A26656" w:rsidRPr="00BE6119" w:rsidRDefault="00A26656" w:rsidP="003C5BA0">
      <w:pPr>
        <w:pStyle w:val="Default"/>
        <w:numPr>
          <w:ilvl w:val="0"/>
          <w:numId w:val="30"/>
        </w:numPr>
        <w:jc w:val="both"/>
        <w:rPr>
          <w:rFonts w:asciiTheme="majorBidi" w:hAnsiTheme="majorBidi" w:cstheme="majorBidi"/>
          <w:sz w:val="22"/>
          <w:szCs w:val="22"/>
        </w:rPr>
      </w:pPr>
      <w:r w:rsidRPr="00A26656">
        <w:rPr>
          <w:rFonts w:asciiTheme="majorBidi" w:hAnsiTheme="majorBidi" w:cstheme="majorBidi"/>
          <w:b/>
          <w:i/>
          <w:sz w:val="22"/>
          <w:szCs w:val="22"/>
        </w:rPr>
        <w:t>Groupe 3</w:t>
      </w:r>
      <w:r w:rsidRPr="00BE6119">
        <w:rPr>
          <w:rFonts w:asciiTheme="majorBidi" w:hAnsiTheme="majorBidi" w:cstheme="majorBidi"/>
          <w:sz w:val="22"/>
          <w:szCs w:val="22"/>
        </w:rPr>
        <w:t xml:space="preserve"> : Enfants de zéro à cinq ans, vivant dans les ménages les plus pauvres et nécessitant d’une assistance alimentaire d’urgence, en particulier ceux qui vivent avec un handicap et ceux qui ont été victimes d’un conflit et/ou d’un déplacement.</w:t>
      </w:r>
    </w:p>
    <w:p w14:paraId="5549BE10" w14:textId="77777777" w:rsidR="00A26656" w:rsidRDefault="00A26656" w:rsidP="00A26656">
      <w:pPr>
        <w:pStyle w:val="Default"/>
        <w:jc w:val="both"/>
        <w:rPr>
          <w:rFonts w:asciiTheme="majorBidi" w:hAnsiTheme="majorBidi" w:cstheme="majorBidi"/>
          <w:sz w:val="22"/>
          <w:szCs w:val="22"/>
        </w:rPr>
      </w:pPr>
    </w:p>
    <w:p w14:paraId="7C326D3A" w14:textId="27952938" w:rsidR="00A26656" w:rsidRDefault="00A26656" w:rsidP="00A26656">
      <w:pPr>
        <w:pStyle w:val="Default"/>
        <w:jc w:val="both"/>
        <w:rPr>
          <w:rFonts w:asciiTheme="majorBidi" w:hAnsiTheme="majorBidi" w:cstheme="majorBidi"/>
          <w:sz w:val="22"/>
          <w:szCs w:val="22"/>
        </w:rPr>
      </w:pPr>
      <w:r w:rsidRPr="00BE6119">
        <w:rPr>
          <w:rFonts w:asciiTheme="majorBidi" w:hAnsiTheme="majorBidi" w:cstheme="majorBidi"/>
          <w:sz w:val="22"/>
          <w:szCs w:val="22"/>
        </w:rPr>
        <w:t>L’absence de données précises pour certains groupes empêche la détermination de leur niveau de vulnérabilité. Néanmoins, on considère que les personnes issues des minorités, y compris les groupes religieux et ethniques, les personnes vivant dans les zones enclavées et les personnes ayant une orientation sexuelle non-conforme aux normes majoritaires font face à une discrimination latente et pourraient,</w:t>
      </w:r>
      <w:r w:rsidR="003C5BA0">
        <w:rPr>
          <w:rFonts w:asciiTheme="majorBidi" w:hAnsiTheme="majorBidi" w:cstheme="majorBidi"/>
          <w:sz w:val="22"/>
          <w:szCs w:val="22"/>
        </w:rPr>
        <w:t xml:space="preserve"> suite à analyse, être inclus. </w:t>
      </w:r>
    </w:p>
    <w:p w14:paraId="371CC8D4" w14:textId="77777777" w:rsidR="00A26656" w:rsidRDefault="00A26656" w:rsidP="00A26656">
      <w:pPr>
        <w:pStyle w:val="Default"/>
        <w:rPr>
          <w:rFonts w:asciiTheme="minorHAnsi" w:hAnsiTheme="minorHAnsi" w:cstheme="minorHAnsi"/>
          <w:sz w:val="22"/>
          <w:szCs w:val="22"/>
        </w:rPr>
      </w:pPr>
    </w:p>
    <w:p w14:paraId="53BF77C5" w14:textId="14C34FBC" w:rsidR="00A26656" w:rsidRPr="00D72BD4" w:rsidRDefault="00BF010E" w:rsidP="00A26656">
      <w:pPr>
        <w:jc w:val="both"/>
        <w:rPr>
          <w:rFonts w:ascii="Times New Roman" w:hAnsi="Times New Roman" w:cs="Times New Roman"/>
        </w:rPr>
      </w:pPr>
      <w:r>
        <w:rPr>
          <w:rFonts w:ascii="Times New Roman" w:hAnsi="Times New Roman" w:cs="Times New Roman"/>
        </w:rPr>
        <w:t>L’initiative 3N</w:t>
      </w:r>
      <w:r w:rsidR="00A26656">
        <w:rPr>
          <w:rFonts w:ascii="Times New Roman" w:hAnsi="Times New Roman" w:cs="Times New Roman"/>
        </w:rPr>
        <w:t xml:space="preserve"> </w:t>
      </w:r>
      <w:r w:rsidR="00A26656" w:rsidRPr="00D72BD4">
        <w:rPr>
          <w:rFonts w:ascii="Times New Roman" w:hAnsi="Times New Roman" w:cs="Times New Roman"/>
        </w:rPr>
        <w:t xml:space="preserve">(les Nigériens Nourrissent les Nigériens) constitue le principal programme de solidarité sociale et d’autosuffisance alimentaire, visant à ne laisser personne de côté. Il est centré sur la population rurale, la tranche la plus importante (80%) </w:t>
      </w:r>
      <w:r>
        <w:rPr>
          <w:rFonts w:ascii="Times New Roman" w:hAnsi="Times New Roman" w:cs="Times New Roman"/>
        </w:rPr>
        <w:t xml:space="preserve">et la plus vulnérable du pays. </w:t>
      </w:r>
      <w:r w:rsidR="00A26656" w:rsidRPr="00D72BD4">
        <w:rPr>
          <w:rFonts w:ascii="Times New Roman" w:hAnsi="Times New Roman" w:cs="Times New Roman"/>
        </w:rPr>
        <w:t xml:space="preserve">Le Niger met également en œuvre des projets et programmes ciblant principalement les groupes vulnérables et marginalisés de la société nigérienne : (i) la poursuite de la gratuité des soins pour les enfants de moins de 5 ans ainsi que la prise en charge gratuite du cancer du col de l’utérus et des seins pour les femmes ; (ii) les campagnes de distributions gratuites de vivres ou de ventes à prix modérés en période de soudure (Avril-septembre) ; (iii) les récentes mesures de protection sociale prises par le Gouvernement pour faire face aux impacts négatifs de la COVID-19 sur les populations. Une loi spécifique aux personnes handicapées est adoptée par le Gouvernement. </w:t>
      </w:r>
    </w:p>
    <w:p w14:paraId="4A715B5B" w14:textId="378430B1" w:rsidR="00A26656" w:rsidRPr="00A26656" w:rsidRDefault="00A26656" w:rsidP="00A26656">
      <w:pPr>
        <w:jc w:val="both"/>
        <w:rPr>
          <w:rFonts w:ascii="Times New Roman" w:hAnsi="Times New Roman" w:cs="Times New Roman"/>
        </w:rPr>
      </w:pPr>
      <w:r w:rsidRPr="00D72BD4">
        <w:rPr>
          <w:rFonts w:ascii="Times New Roman" w:hAnsi="Times New Roman" w:cs="Times New Roman"/>
        </w:rPr>
        <w:t xml:space="preserve">D’autres actions concrètes sont prises pour une meilleure identification des couches vulnérables et leur prise en compte dans les analyses socioéconomiques. Ainsi, certaines enquêtes-ménages d’envergure nationale conduite par l’Institut National de la Statistique couvrent désormais les personnes en situation de handicap et les réfugiés. En outre, des programmes spécifiques pour développer l’entreprenariat des </w:t>
      </w:r>
      <w:r w:rsidRPr="00D72BD4">
        <w:rPr>
          <w:rFonts w:ascii="Times New Roman" w:hAnsi="Times New Roman" w:cs="Times New Roman"/>
        </w:rPr>
        <w:lastRenderedPageBreak/>
        <w:t xml:space="preserve">jeunes et des femmes sont en cours </w:t>
      </w:r>
      <w:r w:rsidR="00BF010E">
        <w:rPr>
          <w:rFonts w:ascii="Times New Roman" w:hAnsi="Times New Roman" w:cs="Times New Roman"/>
        </w:rPr>
        <w:t>d’exécution</w:t>
      </w:r>
      <w:r w:rsidRPr="00D72BD4">
        <w:rPr>
          <w:rFonts w:ascii="Times New Roman" w:hAnsi="Times New Roman" w:cs="Times New Roman"/>
        </w:rPr>
        <w:t xml:space="preserve"> et les quotas réservés aux femmes pour les fonctions électives et nominatives ont été r</w:t>
      </w:r>
      <w:r>
        <w:rPr>
          <w:rFonts w:ascii="Times New Roman" w:hAnsi="Times New Roman" w:cs="Times New Roman"/>
        </w:rPr>
        <w:t>espectivement rehaussés à 25%</w:t>
      </w:r>
      <w:r w:rsidRPr="00D72BD4">
        <w:rPr>
          <w:rFonts w:ascii="Times New Roman" w:hAnsi="Times New Roman" w:cs="Times New Roman"/>
        </w:rPr>
        <w:t>.</w:t>
      </w:r>
      <w:r>
        <w:rPr>
          <w:rFonts w:ascii="Times New Roman" w:hAnsi="Times New Roman" w:cs="Times New Roman"/>
        </w:rPr>
        <w:t xml:space="preserve"> </w:t>
      </w:r>
    </w:p>
    <w:p w14:paraId="7928DC22" w14:textId="77777777" w:rsidR="0028280C" w:rsidRPr="00E25B1F" w:rsidRDefault="0028280C" w:rsidP="00E25B1F">
      <w:pPr>
        <w:pStyle w:val="Titre1"/>
        <w:rPr>
          <w:rFonts w:ascii="Bernard MT Condensed" w:hAnsi="Bernard MT Condensed"/>
          <w:sz w:val="28"/>
          <w:szCs w:val="28"/>
        </w:rPr>
      </w:pPr>
      <w:bookmarkStart w:id="413" w:name="_Toc84789699"/>
      <w:bookmarkStart w:id="414" w:name="_Toc86687765"/>
      <w:bookmarkStart w:id="415" w:name="_Toc89479447"/>
      <w:bookmarkStart w:id="416" w:name="_Toc89480945"/>
      <w:bookmarkStart w:id="417" w:name="_Toc94480187"/>
      <w:bookmarkStart w:id="418" w:name="_Toc94481848"/>
      <w:bookmarkStart w:id="419" w:name="_Toc94482111"/>
      <w:r w:rsidRPr="00E25B1F">
        <w:rPr>
          <w:rFonts w:ascii="Bernard MT Condensed" w:hAnsi="Bernard MT Condensed"/>
          <w:sz w:val="28"/>
          <w:szCs w:val="28"/>
        </w:rPr>
        <w:t>VII - Défis et atouts pour la réalisation des ODD</w:t>
      </w:r>
      <w:bookmarkEnd w:id="413"/>
      <w:bookmarkEnd w:id="414"/>
      <w:bookmarkEnd w:id="415"/>
      <w:bookmarkEnd w:id="416"/>
      <w:bookmarkEnd w:id="417"/>
      <w:bookmarkEnd w:id="418"/>
      <w:bookmarkEnd w:id="419"/>
    </w:p>
    <w:p w14:paraId="2F91FFD6" w14:textId="77777777" w:rsidR="0028280C" w:rsidRPr="00E25B1F" w:rsidRDefault="0028280C" w:rsidP="00E25B1F">
      <w:pPr>
        <w:pStyle w:val="Titre2"/>
        <w:rPr>
          <w:rFonts w:ascii="Bernard MT Condensed" w:hAnsi="Bernard MT Condensed"/>
          <w:sz w:val="24"/>
          <w:szCs w:val="24"/>
        </w:rPr>
      </w:pPr>
      <w:bookmarkStart w:id="420" w:name="_Toc84789700"/>
      <w:bookmarkStart w:id="421" w:name="_Toc86687766"/>
      <w:bookmarkStart w:id="422" w:name="_Toc89479448"/>
      <w:bookmarkStart w:id="423" w:name="_Toc89480946"/>
      <w:bookmarkStart w:id="424" w:name="_Toc94480188"/>
      <w:bookmarkStart w:id="425" w:name="_Toc94481849"/>
      <w:bookmarkStart w:id="426" w:name="_Toc94482112"/>
      <w:r w:rsidRPr="00E25B1F">
        <w:rPr>
          <w:rFonts w:ascii="Bernard MT Condensed" w:hAnsi="Bernard MT Condensed"/>
          <w:sz w:val="24"/>
          <w:szCs w:val="24"/>
        </w:rPr>
        <w:t>VII.1 - Défis</w:t>
      </w:r>
      <w:bookmarkEnd w:id="420"/>
      <w:bookmarkEnd w:id="421"/>
      <w:bookmarkEnd w:id="422"/>
      <w:bookmarkEnd w:id="423"/>
      <w:bookmarkEnd w:id="424"/>
      <w:bookmarkEnd w:id="425"/>
      <w:bookmarkEnd w:id="426"/>
    </w:p>
    <w:p w14:paraId="0F107569" w14:textId="633F2638" w:rsidR="0028280C" w:rsidRDefault="0028280C" w:rsidP="0028280C">
      <w:pPr>
        <w:jc w:val="both"/>
        <w:rPr>
          <w:rFonts w:ascii="Times New Roman" w:hAnsi="Times New Roman" w:cs="Times New Roman"/>
        </w:rPr>
      </w:pPr>
      <w:r>
        <w:rPr>
          <w:rFonts w:ascii="Times New Roman" w:hAnsi="Times New Roman" w:cs="Times New Roman"/>
        </w:rPr>
        <w:t xml:space="preserve">Le Niger a enregistré des progrès notables vers l’atteinte des cibles des ODD priorisées. Mais, le pays doit encore consentir d’énormes efforts pour relever les défis majeurs non négligeables qui pourraient compromettre leur atteinte d’ici à 2030. Il s’agit des principaux défis ci-après mis en lumière dans la présente analyse et d’autres documents stratégiques produits par l’équipe </w:t>
      </w:r>
      <w:r w:rsidR="00E0093B">
        <w:rPr>
          <w:rFonts w:ascii="Times New Roman" w:hAnsi="Times New Roman" w:cs="Times New Roman"/>
        </w:rPr>
        <w:t xml:space="preserve">pays </w:t>
      </w:r>
      <w:r>
        <w:rPr>
          <w:rFonts w:ascii="Times New Roman" w:hAnsi="Times New Roman" w:cs="Times New Roman"/>
        </w:rPr>
        <w:t>des Nations Unies :</w:t>
      </w:r>
    </w:p>
    <w:p w14:paraId="0574E742" w14:textId="77777777" w:rsidR="0028280C" w:rsidRPr="00E0093B" w:rsidRDefault="0028280C" w:rsidP="00E0093B">
      <w:pPr>
        <w:pStyle w:val="Paragraphedeliste"/>
        <w:numPr>
          <w:ilvl w:val="0"/>
          <w:numId w:val="33"/>
        </w:numPr>
        <w:jc w:val="both"/>
        <w:rPr>
          <w:rFonts w:ascii="Times New Roman" w:hAnsi="Times New Roman" w:cs="Times New Roman"/>
        </w:rPr>
      </w:pPr>
      <w:r w:rsidRPr="00E0093B">
        <w:rPr>
          <w:rFonts w:ascii="Times New Roman" w:hAnsi="Times New Roman" w:cs="Times New Roman"/>
        </w:rPr>
        <w:t>La lutte contre les groupes armés terroristes qui continuent à perpétrer des attaques violentes contre les populations et les privent ainsi de la jouissance de leurs droits fondamentaux ;</w:t>
      </w:r>
    </w:p>
    <w:p w14:paraId="70D88599" w14:textId="77777777" w:rsidR="0028280C" w:rsidRPr="00140A6F" w:rsidRDefault="0028280C" w:rsidP="0028280C">
      <w:pPr>
        <w:pStyle w:val="Paragraphedeliste"/>
        <w:numPr>
          <w:ilvl w:val="0"/>
          <w:numId w:val="1"/>
        </w:numPr>
        <w:jc w:val="both"/>
        <w:rPr>
          <w:rFonts w:ascii="Times New Roman" w:hAnsi="Times New Roman" w:cs="Times New Roman"/>
        </w:rPr>
      </w:pPr>
      <w:r w:rsidRPr="00140A6F">
        <w:rPr>
          <w:rFonts w:ascii="Times New Roman" w:hAnsi="Times New Roman" w:cs="Times New Roman"/>
        </w:rPr>
        <w:t>L’extension de la couverture des services sécuritaires et l’amélioration de leur qualité notamment dans le monde rural ;</w:t>
      </w:r>
    </w:p>
    <w:p w14:paraId="3D8A2862" w14:textId="77777777" w:rsidR="0028280C" w:rsidRPr="00140A6F" w:rsidRDefault="0028280C" w:rsidP="0028280C">
      <w:pPr>
        <w:pStyle w:val="Paragraphedeliste"/>
        <w:numPr>
          <w:ilvl w:val="0"/>
          <w:numId w:val="1"/>
        </w:numPr>
        <w:jc w:val="both"/>
        <w:rPr>
          <w:rFonts w:ascii="Times New Roman" w:hAnsi="Times New Roman" w:cs="Times New Roman"/>
        </w:rPr>
      </w:pPr>
      <w:r w:rsidRPr="00140A6F">
        <w:rPr>
          <w:rFonts w:ascii="Times New Roman" w:hAnsi="Times New Roman" w:cs="Times New Roman"/>
        </w:rPr>
        <w:t>Le renforcement de la cohésion nationale qui requiert la promotion du dialogue politique pour rétablir la confiance entre les acteurs politiques, l’amélioration de la représentativité des femmes et des jeunes dans les instances de décision ;</w:t>
      </w:r>
    </w:p>
    <w:p w14:paraId="783BFD5B" w14:textId="77777777" w:rsidR="0028280C" w:rsidRDefault="0028280C" w:rsidP="0028280C">
      <w:pPr>
        <w:pStyle w:val="Paragraphedeliste"/>
        <w:numPr>
          <w:ilvl w:val="0"/>
          <w:numId w:val="1"/>
        </w:numPr>
        <w:jc w:val="both"/>
        <w:rPr>
          <w:rFonts w:ascii="Times New Roman" w:hAnsi="Times New Roman" w:cs="Times New Roman"/>
        </w:rPr>
      </w:pPr>
      <w:r w:rsidRPr="00140A6F">
        <w:rPr>
          <w:rFonts w:ascii="Times New Roman" w:hAnsi="Times New Roman" w:cs="Times New Roman"/>
        </w:rPr>
        <w:t>Le renforcement de l’état</w:t>
      </w:r>
      <w:r>
        <w:rPr>
          <w:rFonts w:ascii="Times New Roman" w:hAnsi="Times New Roman" w:cs="Times New Roman"/>
        </w:rPr>
        <w:t xml:space="preserve"> de droit</w:t>
      </w:r>
      <w:r w:rsidRPr="00140A6F">
        <w:rPr>
          <w:rFonts w:ascii="Times New Roman" w:hAnsi="Times New Roman" w:cs="Times New Roman"/>
        </w:rPr>
        <w:t xml:space="preserve"> qui requiert davantage d’efforts dans le respect, la protection et la promotion des droits humains en veillant à la stricte application des dispositions des instruments des droits humains et des recommandations des examens périodiques universels ainsi qu’à la promotion de la citoyenneté ;</w:t>
      </w:r>
    </w:p>
    <w:p w14:paraId="30739062" w14:textId="77777777" w:rsidR="0028280C" w:rsidRPr="00425B6E" w:rsidRDefault="0028280C" w:rsidP="0028280C">
      <w:pPr>
        <w:pStyle w:val="Paragraphedeliste"/>
        <w:numPr>
          <w:ilvl w:val="0"/>
          <w:numId w:val="1"/>
        </w:numPr>
        <w:jc w:val="both"/>
        <w:rPr>
          <w:rFonts w:ascii="Times New Roman" w:hAnsi="Times New Roman" w:cs="Times New Roman"/>
        </w:rPr>
      </w:pPr>
      <w:r w:rsidRPr="00425B6E">
        <w:rPr>
          <w:rFonts w:ascii="Times New Roman" w:hAnsi="Times New Roman" w:cs="Times New Roman"/>
          <w:color w:val="000000" w:themeColor="text1"/>
        </w:rPr>
        <w:t xml:space="preserve">L’harmonisation législative pour mettre les normes nationales en conformité avec les normes </w:t>
      </w:r>
      <w:r>
        <w:rPr>
          <w:rFonts w:ascii="Times New Roman" w:hAnsi="Times New Roman" w:cs="Times New Roman"/>
          <w:color w:val="000000" w:themeColor="text1"/>
        </w:rPr>
        <w:t>internationales ;</w:t>
      </w:r>
    </w:p>
    <w:p w14:paraId="5C76D10C" w14:textId="77777777" w:rsidR="0028280C" w:rsidRPr="00425B6E" w:rsidRDefault="0028280C" w:rsidP="0028280C">
      <w:pPr>
        <w:pStyle w:val="Paragraphedeliste"/>
        <w:numPr>
          <w:ilvl w:val="0"/>
          <w:numId w:val="1"/>
        </w:numPr>
        <w:jc w:val="both"/>
        <w:rPr>
          <w:rFonts w:ascii="Times New Roman" w:hAnsi="Times New Roman" w:cs="Times New Roman"/>
        </w:rPr>
      </w:pPr>
      <w:r w:rsidRPr="00425B6E">
        <w:rPr>
          <w:rFonts w:ascii="Times New Roman" w:hAnsi="Times New Roman" w:cs="Times New Roman"/>
          <w:color w:val="000000" w:themeColor="text1"/>
        </w:rPr>
        <w:t xml:space="preserve">L’application de la loi sur les principes fondamentaux relatifs à l’insertion des </w:t>
      </w:r>
      <w:r>
        <w:rPr>
          <w:rFonts w:ascii="Times New Roman" w:hAnsi="Times New Roman" w:cs="Times New Roman"/>
          <w:color w:val="000000" w:themeColor="text1"/>
        </w:rPr>
        <w:t>Personnes Handicapées en 2019 ;</w:t>
      </w:r>
    </w:p>
    <w:p w14:paraId="553EA435" w14:textId="6E11291F" w:rsidR="0028280C" w:rsidRPr="00425B6E" w:rsidRDefault="0028280C" w:rsidP="0028280C">
      <w:pPr>
        <w:pStyle w:val="Paragraphedeliste"/>
        <w:numPr>
          <w:ilvl w:val="0"/>
          <w:numId w:val="1"/>
        </w:numPr>
        <w:jc w:val="both"/>
        <w:rPr>
          <w:rFonts w:ascii="Times New Roman" w:hAnsi="Times New Roman" w:cs="Times New Roman"/>
        </w:rPr>
      </w:pPr>
      <w:r w:rsidRPr="00425B6E">
        <w:rPr>
          <w:rFonts w:ascii="Times New Roman" w:hAnsi="Times New Roman" w:cs="Times New Roman"/>
          <w:color w:val="000000" w:themeColor="text1"/>
        </w:rPr>
        <w:t xml:space="preserve">L’adoption et </w:t>
      </w:r>
      <w:r w:rsidR="00E0093B">
        <w:rPr>
          <w:rFonts w:ascii="Times New Roman" w:hAnsi="Times New Roman" w:cs="Times New Roman"/>
          <w:color w:val="000000" w:themeColor="text1"/>
        </w:rPr>
        <w:t xml:space="preserve">la </w:t>
      </w:r>
      <w:r w:rsidRPr="00425B6E">
        <w:rPr>
          <w:rFonts w:ascii="Times New Roman" w:hAnsi="Times New Roman" w:cs="Times New Roman"/>
          <w:color w:val="000000" w:themeColor="text1"/>
        </w:rPr>
        <w:t xml:space="preserve">vulgarisation des documents et textes portant sur la protection et la promotion des droits de la femme et de l’enfant ; </w:t>
      </w:r>
    </w:p>
    <w:p w14:paraId="5F2E5FD7" w14:textId="77777777" w:rsidR="0028280C" w:rsidRPr="00140A6F" w:rsidRDefault="0028280C" w:rsidP="0028280C">
      <w:pPr>
        <w:pStyle w:val="Paragraphedeliste"/>
        <w:numPr>
          <w:ilvl w:val="0"/>
          <w:numId w:val="1"/>
        </w:numPr>
        <w:jc w:val="both"/>
        <w:rPr>
          <w:rFonts w:ascii="Times New Roman" w:hAnsi="Times New Roman" w:cs="Times New Roman"/>
        </w:rPr>
      </w:pPr>
      <w:r>
        <w:rPr>
          <w:rFonts w:ascii="Times New Roman" w:hAnsi="Times New Roman" w:cs="Times New Roman"/>
        </w:rPr>
        <w:t xml:space="preserve">Le renforcement de l’administration publique aux niveaux central et local afin d’améliorer l’offre des services publics, de rapprocher l’administration des administrés notamment dans le monde rural ; </w:t>
      </w:r>
    </w:p>
    <w:p w14:paraId="111FAC1A" w14:textId="77777777" w:rsidR="0028280C" w:rsidRPr="00140A6F" w:rsidRDefault="0028280C" w:rsidP="0028280C">
      <w:pPr>
        <w:pStyle w:val="Paragraphedeliste"/>
        <w:numPr>
          <w:ilvl w:val="0"/>
          <w:numId w:val="1"/>
        </w:numPr>
        <w:jc w:val="both"/>
        <w:rPr>
          <w:rFonts w:ascii="Times New Roman" w:hAnsi="Times New Roman" w:cs="Times New Roman"/>
        </w:rPr>
      </w:pPr>
      <w:r w:rsidRPr="00140A6F">
        <w:rPr>
          <w:rFonts w:ascii="Times New Roman" w:hAnsi="Times New Roman" w:cs="Times New Roman"/>
        </w:rPr>
        <w:t>Le renforcement du système de l’état civil en assurant davantage son extension dans le monde rural ;</w:t>
      </w:r>
    </w:p>
    <w:p w14:paraId="071A11A1" w14:textId="77777777" w:rsidR="0028280C" w:rsidRDefault="0028280C" w:rsidP="0028280C">
      <w:pPr>
        <w:pStyle w:val="Paragraphedeliste"/>
        <w:numPr>
          <w:ilvl w:val="0"/>
          <w:numId w:val="1"/>
        </w:numPr>
        <w:jc w:val="both"/>
        <w:rPr>
          <w:rFonts w:ascii="Times New Roman" w:hAnsi="Times New Roman" w:cs="Times New Roman"/>
        </w:rPr>
      </w:pPr>
      <w:r w:rsidRPr="00140A6F">
        <w:rPr>
          <w:rFonts w:ascii="Times New Roman" w:hAnsi="Times New Roman" w:cs="Times New Roman"/>
        </w:rPr>
        <w:t>L’extension de la couverture des services judiciaires et l’amélioration de leur qualité en accordant une attention particulière au monde rural, aux femmes, aux enfants, aux personnes les plus vulnérables ;</w:t>
      </w:r>
    </w:p>
    <w:p w14:paraId="4CF5EECC" w14:textId="4DC2779A" w:rsidR="00F94EAD" w:rsidRPr="00140A6F" w:rsidRDefault="00F94EAD" w:rsidP="00F94EAD">
      <w:pPr>
        <w:pStyle w:val="Paragraphedeliste"/>
        <w:numPr>
          <w:ilvl w:val="0"/>
          <w:numId w:val="1"/>
        </w:numPr>
        <w:jc w:val="both"/>
        <w:rPr>
          <w:rFonts w:ascii="Times New Roman" w:hAnsi="Times New Roman" w:cs="Times New Roman"/>
        </w:rPr>
      </w:pPr>
      <w:r>
        <w:rPr>
          <w:rFonts w:ascii="Times New Roman" w:hAnsi="Times New Roman" w:cs="Times New Roman"/>
        </w:rPr>
        <w:t>La mise en œuvre de la couverture sanitaire universelle (CSU) ;</w:t>
      </w:r>
    </w:p>
    <w:p w14:paraId="5C73439E" w14:textId="77777777" w:rsidR="00F94EAD" w:rsidRPr="00140A6F" w:rsidRDefault="00F94EAD" w:rsidP="00F94EAD">
      <w:pPr>
        <w:pStyle w:val="Paragraphedeliste"/>
        <w:jc w:val="both"/>
        <w:rPr>
          <w:rFonts w:ascii="Times New Roman" w:hAnsi="Times New Roman" w:cs="Times New Roman"/>
        </w:rPr>
      </w:pPr>
    </w:p>
    <w:p w14:paraId="0E22F91A" w14:textId="77777777" w:rsidR="0028280C" w:rsidRPr="00140A6F" w:rsidRDefault="0028280C" w:rsidP="0028280C">
      <w:pPr>
        <w:pStyle w:val="Paragraphedeliste"/>
        <w:numPr>
          <w:ilvl w:val="0"/>
          <w:numId w:val="1"/>
        </w:numPr>
        <w:jc w:val="both"/>
        <w:rPr>
          <w:rFonts w:ascii="Times New Roman" w:hAnsi="Times New Roman" w:cs="Times New Roman"/>
        </w:rPr>
      </w:pPr>
      <w:r w:rsidRPr="00140A6F">
        <w:rPr>
          <w:rFonts w:ascii="Times New Roman" w:hAnsi="Times New Roman" w:cs="Times New Roman"/>
        </w:rPr>
        <w:t>La maîtrise de la croissance démographique effrénée et élevée qui va entrainer un doublement de la population d’ici 2050 et une urbanisation rapide. Cette croissance démographique exercera une forte pression sur la croissance économique ;</w:t>
      </w:r>
    </w:p>
    <w:p w14:paraId="6EBB02FB" w14:textId="77777777" w:rsidR="0028280C" w:rsidRPr="00140A6F" w:rsidRDefault="0028280C" w:rsidP="0028280C">
      <w:pPr>
        <w:pStyle w:val="Paragraphedeliste"/>
        <w:numPr>
          <w:ilvl w:val="0"/>
          <w:numId w:val="1"/>
        </w:numPr>
        <w:jc w:val="both"/>
        <w:rPr>
          <w:rFonts w:ascii="Times New Roman" w:hAnsi="Times New Roman" w:cs="Times New Roman"/>
        </w:rPr>
      </w:pPr>
      <w:r w:rsidRPr="00140A6F">
        <w:rPr>
          <w:rFonts w:ascii="Times New Roman" w:hAnsi="Times New Roman" w:cs="Times New Roman"/>
        </w:rPr>
        <w:t>La capture du dividende démographique qui va permettre de tirer profit de la jeunesse de la population grâce à l’accroissement des investissements dans les secteurs de l’éducation, de la formation technique et professionnelle, de la santé, de l’emploi ainsi que dans la promotion de l’entrepreneuriat ;</w:t>
      </w:r>
    </w:p>
    <w:p w14:paraId="176E3B4A" w14:textId="23638106" w:rsidR="0028280C" w:rsidRPr="00140A6F" w:rsidRDefault="0028280C" w:rsidP="0028280C">
      <w:pPr>
        <w:pStyle w:val="Paragraphedeliste"/>
        <w:numPr>
          <w:ilvl w:val="0"/>
          <w:numId w:val="1"/>
        </w:numPr>
        <w:jc w:val="both"/>
        <w:rPr>
          <w:rFonts w:ascii="Times New Roman" w:hAnsi="Times New Roman" w:cs="Times New Roman"/>
        </w:rPr>
      </w:pPr>
      <w:r w:rsidRPr="00140A6F">
        <w:rPr>
          <w:rFonts w:ascii="Times New Roman" w:hAnsi="Times New Roman" w:cs="Times New Roman"/>
        </w:rPr>
        <w:t xml:space="preserve">La relance et la promotion d’une croissance économique forte, inclusive, verte et génératrice d’emplois en veillant </w:t>
      </w:r>
      <w:r w:rsidR="00E0093B">
        <w:rPr>
          <w:rFonts w:ascii="Times New Roman" w:hAnsi="Times New Roman" w:cs="Times New Roman"/>
        </w:rPr>
        <w:t xml:space="preserve">à </w:t>
      </w:r>
      <w:r w:rsidRPr="00140A6F">
        <w:rPr>
          <w:rFonts w:ascii="Times New Roman" w:hAnsi="Times New Roman" w:cs="Times New Roman"/>
        </w:rPr>
        <w:t>l’application des mesures qui devraient permettre de maîtriser la COVID 19 ;</w:t>
      </w:r>
    </w:p>
    <w:p w14:paraId="7AE55321" w14:textId="77777777" w:rsidR="0028280C" w:rsidRPr="00140A6F" w:rsidRDefault="0028280C" w:rsidP="0028280C">
      <w:pPr>
        <w:pStyle w:val="Paragraphedeliste"/>
        <w:numPr>
          <w:ilvl w:val="0"/>
          <w:numId w:val="1"/>
        </w:numPr>
        <w:jc w:val="both"/>
        <w:rPr>
          <w:rFonts w:ascii="Times New Roman" w:hAnsi="Times New Roman" w:cs="Times New Roman"/>
        </w:rPr>
      </w:pPr>
      <w:r w:rsidRPr="00140A6F">
        <w:rPr>
          <w:rFonts w:ascii="Times New Roman" w:hAnsi="Times New Roman" w:cs="Times New Roman"/>
        </w:rPr>
        <w:t>L’insertion du Niger dans les chaines de valeurs aux niveaux international, régional et sous régional ;</w:t>
      </w:r>
    </w:p>
    <w:p w14:paraId="4AB3239B" w14:textId="3B599946" w:rsidR="0028280C" w:rsidRPr="00140A6F" w:rsidRDefault="0028280C" w:rsidP="0028280C">
      <w:pPr>
        <w:pStyle w:val="Paragraphedeliste"/>
        <w:numPr>
          <w:ilvl w:val="0"/>
          <w:numId w:val="1"/>
        </w:numPr>
        <w:jc w:val="both"/>
        <w:rPr>
          <w:rFonts w:ascii="Times New Roman" w:hAnsi="Times New Roman" w:cs="Times New Roman"/>
        </w:rPr>
      </w:pPr>
      <w:r w:rsidRPr="00140A6F">
        <w:rPr>
          <w:rFonts w:ascii="Times New Roman" w:hAnsi="Times New Roman" w:cs="Times New Roman"/>
        </w:rPr>
        <w:t>La promotion des chaines de valeur des produits agro</w:t>
      </w:r>
      <w:r w:rsidR="00E0093B">
        <w:rPr>
          <w:rFonts w:ascii="Times New Roman" w:hAnsi="Times New Roman" w:cs="Times New Roman"/>
        </w:rPr>
        <w:t>-</w:t>
      </w:r>
      <w:r w:rsidRPr="00140A6F">
        <w:rPr>
          <w:rFonts w:ascii="Times New Roman" w:hAnsi="Times New Roman" w:cs="Times New Roman"/>
        </w:rPr>
        <w:t>sylvopastoraux et halieutiques au niveau national notamment dans le monde rural ;</w:t>
      </w:r>
    </w:p>
    <w:p w14:paraId="5569CCA5" w14:textId="77777777" w:rsidR="0028280C" w:rsidRPr="00140A6F" w:rsidRDefault="0028280C" w:rsidP="0028280C">
      <w:pPr>
        <w:pStyle w:val="Paragraphedeliste"/>
        <w:numPr>
          <w:ilvl w:val="0"/>
          <w:numId w:val="1"/>
        </w:numPr>
        <w:jc w:val="both"/>
        <w:rPr>
          <w:rFonts w:ascii="Times New Roman" w:hAnsi="Times New Roman" w:cs="Times New Roman"/>
        </w:rPr>
      </w:pPr>
      <w:r w:rsidRPr="00140A6F">
        <w:rPr>
          <w:rFonts w:ascii="Times New Roman" w:hAnsi="Times New Roman" w:cs="Times New Roman"/>
        </w:rPr>
        <w:lastRenderedPageBreak/>
        <w:t xml:space="preserve">La promotion du secteur privé en améliorant davantage l’environnement des affaires ;     </w:t>
      </w:r>
    </w:p>
    <w:p w14:paraId="56DCBFE4" w14:textId="4E17D844" w:rsidR="0028280C" w:rsidRPr="00140A6F" w:rsidRDefault="0028280C" w:rsidP="0028280C">
      <w:pPr>
        <w:pStyle w:val="Paragraphedeliste"/>
        <w:numPr>
          <w:ilvl w:val="0"/>
          <w:numId w:val="1"/>
        </w:numPr>
        <w:jc w:val="both"/>
        <w:rPr>
          <w:rFonts w:ascii="Times New Roman" w:hAnsi="Times New Roman" w:cs="Times New Roman"/>
        </w:rPr>
      </w:pPr>
      <w:r w:rsidRPr="00140A6F">
        <w:rPr>
          <w:rFonts w:ascii="Times New Roman" w:hAnsi="Times New Roman" w:cs="Times New Roman"/>
        </w:rPr>
        <w:t xml:space="preserve">L’extension de la couverture des services sociaux de base (Education, santé, nutrition, eau, hygiène, assainissement) et l’amélioration de leur qualité en accordant une attention particulière au monde rural, aux femmes, aux enfants, </w:t>
      </w:r>
      <w:r w:rsidR="00E0093B">
        <w:rPr>
          <w:rFonts w:ascii="Times New Roman" w:hAnsi="Times New Roman" w:cs="Times New Roman"/>
        </w:rPr>
        <w:t xml:space="preserve">aux adolescents, </w:t>
      </w:r>
      <w:r w:rsidR="009F5C0C">
        <w:rPr>
          <w:rFonts w:ascii="Times New Roman" w:hAnsi="Times New Roman" w:cs="Times New Roman"/>
        </w:rPr>
        <w:t xml:space="preserve">et </w:t>
      </w:r>
      <w:r w:rsidRPr="00140A6F">
        <w:rPr>
          <w:rFonts w:ascii="Times New Roman" w:hAnsi="Times New Roman" w:cs="Times New Roman"/>
        </w:rPr>
        <w:t>aux personnes les plus vulnérables ;</w:t>
      </w:r>
    </w:p>
    <w:p w14:paraId="6DBA6185" w14:textId="77777777" w:rsidR="0028280C" w:rsidRPr="00140A6F" w:rsidRDefault="0028280C" w:rsidP="0028280C">
      <w:pPr>
        <w:pStyle w:val="Paragraphedeliste"/>
        <w:numPr>
          <w:ilvl w:val="0"/>
          <w:numId w:val="1"/>
        </w:numPr>
        <w:jc w:val="both"/>
        <w:rPr>
          <w:rFonts w:ascii="Times New Roman" w:hAnsi="Times New Roman" w:cs="Times New Roman"/>
        </w:rPr>
      </w:pPr>
      <w:r w:rsidRPr="00140A6F">
        <w:rPr>
          <w:rFonts w:ascii="Times New Roman" w:hAnsi="Times New Roman" w:cs="Times New Roman"/>
        </w:rPr>
        <w:t>L’extension de la couverture de la protection sociale en accordant une attention particulière au monde rural aux femmes, aux enfants, aux personnes les plus vulnérables ;</w:t>
      </w:r>
    </w:p>
    <w:p w14:paraId="223C2766" w14:textId="77777777" w:rsidR="0028280C" w:rsidRDefault="0028280C" w:rsidP="0028280C">
      <w:pPr>
        <w:pStyle w:val="Paragraphedeliste"/>
        <w:numPr>
          <w:ilvl w:val="0"/>
          <w:numId w:val="1"/>
        </w:numPr>
        <w:jc w:val="both"/>
        <w:rPr>
          <w:rFonts w:ascii="Times New Roman" w:hAnsi="Times New Roman" w:cs="Times New Roman"/>
        </w:rPr>
      </w:pPr>
      <w:r w:rsidRPr="00140A6F">
        <w:rPr>
          <w:rFonts w:ascii="Times New Roman" w:hAnsi="Times New Roman" w:cs="Times New Roman"/>
        </w:rPr>
        <w:t>Le renforcement de la résilience des populations notamment des populations rurales au changement climatique, aux risques et catastrophes naturels ;</w:t>
      </w:r>
    </w:p>
    <w:p w14:paraId="36F021AC" w14:textId="57B2AF83" w:rsidR="00F94EAD" w:rsidRPr="00F94EAD" w:rsidRDefault="00F94EAD" w:rsidP="00F94EAD">
      <w:pPr>
        <w:pStyle w:val="Paragraphedeliste"/>
        <w:numPr>
          <w:ilvl w:val="0"/>
          <w:numId w:val="1"/>
        </w:numPr>
        <w:jc w:val="both"/>
        <w:rPr>
          <w:rFonts w:ascii="Times New Roman" w:hAnsi="Times New Roman" w:cs="Times New Roman"/>
        </w:rPr>
      </w:pPr>
      <w:r>
        <w:rPr>
          <w:rFonts w:ascii="Times New Roman" w:hAnsi="Times New Roman" w:cs="Times New Roman"/>
        </w:rPr>
        <w:t>La préparation, la prévention et la réponse aux situations d’urgence sanitaire</w:t>
      </w:r>
    </w:p>
    <w:p w14:paraId="78C04619" w14:textId="77777777" w:rsidR="0028280C" w:rsidRPr="00140A6F" w:rsidRDefault="0028280C" w:rsidP="0028280C">
      <w:pPr>
        <w:pStyle w:val="Paragraphedeliste"/>
        <w:numPr>
          <w:ilvl w:val="0"/>
          <w:numId w:val="1"/>
        </w:numPr>
        <w:jc w:val="both"/>
        <w:rPr>
          <w:rFonts w:ascii="Times New Roman" w:hAnsi="Times New Roman" w:cs="Times New Roman"/>
        </w:rPr>
      </w:pPr>
      <w:r w:rsidRPr="00140A6F">
        <w:rPr>
          <w:rFonts w:ascii="Times New Roman" w:hAnsi="Times New Roman" w:cs="Times New Roman"/>
        </w:rPr>
        <w:t>La maîtrise de la gestion des flux migratoires, le respect, la protection et la promotion des droits des migrants ;</w:t>
      </w:r>
    </w:p>
    <w:p w14:paraId="034E2951" w14:textId="77777777" w:rsidR="0028280C" w:rsidRPr="00140A6F" w:rsidRDefault="0028280C" w:rsidP="0028280C">
      <w:pPr>
        <w:pStyle w:val="Paragraphedeliste"/>
        <w:numPr>
          <w:ilvl w:val="0"/>
          <w:numId w:val="1"/>
        </w:numPr>
        <w:jc w:val="both"/>
        <w:rPr>
          <w:rFonts w:ascii="Times New Roman" w:hAnsi="Times New Roman" w:cs="Times New Roman"/>
        </w:rPr>
      </w:pPr>
      <w:r w:rsidRPr="00140A6F">
        <w:rPr>
          <w:rFonts w:ascii="Times New Roman" w:hAnsi="Times New Roman" w:cs="Times New Roman"/>
        </w:rPr>
        <w:t>L’accroissement du financement domestique, la diversification des sources de financement extérieur en privilégiant la mobilisation des financements émergents ;</w:t>
      </w:r>
    </w:p>
    <w:p w14:paraId="6893C231" w14:textId="77777777" w:rsidR="0028280C" w:rsidRPr="00140A6F" w:rsidRDefault="0028280C" w:rsidP="0028280C">
      <w:pPr>
        <w:pStyle w:val="Paragraphedeliste"/>
        <w:numPr>
          <w:ilvl w:val="0"/>
          <w:numId w:val="1"/>
        </w:numPr>
        <w:jc w:val="both"/>
        <w:rPr>
          <w:rFonts w:ascii="Times New Roman" w:hAnsi="Times New Roman" w:cs="Times New Roman"/>
        </w:rPr>
      </w:pPr>
      <w:r w:rsidRPr="00140A6F">
        <w:rPr>
          <w:rFonts w:ascii="Times New Roman" w:hAnsi="Times New Roman" w:cs="Times New Roman"/>
        </w:rPr>
        <w:t>L’accroissement du financement humanitaire pour répondre aux besoins croissants d’assistance humanitaire ;</w:t>
      </w:r>
    </w:p>
    <w:p w14:paraId="078DD3BC" w14:textId="77777777" w:rsidR="0028280C" w:rsidRPr="00140A6F" w:rsidRDefault="0028280C" w:rsidP="0028280C">
      <w:pPr>
        <w:pStyle w:val="Paragraphedeliste"/>
        <w:numPr>
          <w:ilvl w:val="0"/>
          <w:numId w:val="1"/>
        </w:numPr>
        <w:jc w:val="both"/>
        <w:rPr>
          <w:rFonts w:ascii="Times New Roman" w:hAnsi="Times New Roman" w:cs="Times New Roman"/>
        </w:rPr>
      </w:pPr>
      <w:r w:rsidRPr="00140A6F">
        <w:rPr>
          <w:rFonts w:ascii="Times New Roman" w:hAnsi="Times New Roman" w:cs="Times New Roman"/>
        </w:rPr>
        <w:t xml:space="preserve">Le renforcement de la gestion du développement en appuyant davantage l’amélioration du système de planification, de programmation, de budgétisation, de suivi et évaluation ;       </w:t>
      </w:r>
    </w:p>
    <w:p w14:paraId="69C39ED9" w14:textId="3E8A2C4E" w:rsidR="00BF010E" w:rsidRDefault="0028280C" w:rsidP="0028280C">
      <w:pPr>
        <w:pStyle w:val="Paragraphedeliste"/>
        <w:numPr>
          <w:ilvl w:val="0"/>
          <w:numId w:val="1"/>
        </w:numPr>
        <w:jc w:val="both"/>
        <w:rPr>
          <w:rFonts w:ascii="Times New Roman" w:hAnsi="Times New Roman" w:cs="Times New Roman"/>
        </w:rPr>
      </w:pPr>
      <w:r w:rsidRPr="00140A6F">
        <w:rPr>
          <w:rFonts w:ascii="Times New Roman" w:hAnsi="Times New Roman" w:cs="Times New Roman"/>
        </w:rPr>
        <w:t xml:space="preserve">Le renforcement et la promotion de la production, la disponibilité, l’accessibilité et la qualité des données statistiques en vue d’améliorer la gestion du développement notamment l’élaboration, le suivi et l’évaluation des politiques publiques basées sur </w:t>
      </w:r>
      <w:r w:rsidR="00BF010E">
        <w:rPr>
          <w:rFonts w:ascii="Times New Roman" w:hAnsi="Times New Roman" w:cs="Times New Roman"/>
        </w:rPr>
        <w:t>les évidences ainsi que des ODD ;</w:t>
      </w:r>
    </w:p>
    <w:p w14:paraId="67007610" w14:textId="12F9F2BA" w:rsidR="0028280C" w:rsidRPr="00BF010E" w:rsidRDefault="00BF010E" w:rsidP="00BF010E">
      <w:pPr>
        <w:pStyle w:val="Paragraphedeliste"/>
        <w:numPr>
          <w:ilvl w:val="0"/>
          <w:numId w:val="1"/>
        </w:numPr>
        <w:jc w:val="both"/>
        <w:rPr>
          <w:rFonts w:ascii="Times New Roman" w:hAnsi="Times New Roman" w:cs="Times New Roman"/>
        </w:rPr>
      </w:pPr>
      <w:r>
        <w:rPr>
          <w:rFonts w:ascii="Times New Roman" w:hAnsi="Times New Roman" w:cs="Times New Roman"/>
        </w:rPr>
        <w:t xml:space="preserve">La mobilisation de ressources internes et l’augmentation de l’espace budgétaire pour les dépenses sociales </w:t>
      </w:r>
      <w:r w:rsidRPr="00140A6F">
        <w:rPr>
          <w:rFonts w:ascii="Times New Roman" w:hAnsi="Times New Roman" w:cs="Times New Roman"/>
        </w:rPr>
        <w:t xml:space="preserve">   </w:t>
      </w:r>
      <w:r w:rsidRPr="002D5620">
        <w:rPr>
          <w:rFonts w:ascii="Times New Roman" w:hAnsi="Times New Roman" w:cs="Times New Roman"/>
        </w:rPr>
        <w:t xml:space="preserve">       </w:t>
      </w:r>
      <w:r w:rsidR="0028280C" w:rsidRPr="00BF010E">
        <w:rPr>
          <w:rFonts w:ascii="Times New Roman" w:hAnsi="Times New Roman" w:cs="Times New Roman"/>
        </w:rPr>
        <w:t xml:space="preserve">            </w:t>
      </w:r>
    </w:p>
    <w:p w14:paraId="17BE2872" w14:textId="77777777" w:rsidR="0028280C" w:rsidRPr="00E25B1F" w:rsidRDefault="0028280C" w:rsidP="00E25B1F">
      <w:pPr>
        <w:pStyle w:val="Titre2"/>
        <w:rPr>
          <w:rFonts w:ascii="Bernard MT Condensed" w:hAnsi="Bernard MT Condensed"/>
          <w:sz w:val="24"/>
          <w:szCs w:val="24"/>
        </w:rPr>
      </w:pPr>
      <w:bookmarkStart w:id="427" w:name="_Toc84789701"/>
      <w:bookmarkStart w:id="428" w:name="_Toc86687767"/>
      <w:bookmarkStart w:id="429" w:name="_Toc89479449"/>
      <w:bookmarkStart w:id="430" w:name="_Toc89480947"/>
      <w:bookmarkStart w:id="431" w:name="_Toc94480189"/>
      <w:bookmarkStart w:id="432" w:name="_Toc94481850"/>
      <w:bookmarkStart w:id="433" w:name="_Toc94482113"/>
      <w:r w:rsidRPr="00E25B1F">
        <w:rPr>
          <w:rFonts w:ascii="Bernard MT Condensed" w:hAnsi="Bernard MT Condensed"/>
          <w:sz w:val="24"/>
          <w:szCs w:val="24"/>
        </w:rPr>
        <w:t>VII.2 - Atouts</w:t>
      </w:r>
      <w:bookmarkEnd w:id="427"/>
      <w:bookmarkEnd w:id="428"/>
      <w:bookmarkEnd w:id="429"/>
      <w:bookmarkEnd w:id="430"/>
      <w:bookmarkEnd w:id="431"/>
      <w:bookmarkEnd w:id="432"/>
      <w:bookmarkEnd w:id="433"/>
    </w:p>
    <w:p w14:paraId="75224EB7" w14:textId="55D286B3" w:rsidR="0028280C" w:rsidRDefault="0028280C" w:rsidP="0028280C">
      <w:pPr>
        <w:rPr>
          <w:rFonts w:ascii="Times New Roman" w:hAnsi="Times New Roman" w:cs="Times New Roman"/>
        </w:rPr>
      </w:pPr>
      <w:r>
        <w:rPr>
          <w:rFonts w:ascii="Times New Roman" w:hAnsi="Times New Roman" w:cs="Times New Roman"/>
        </w:rPr>
        <w:t>Le Niger dispose d’importants atouts pour accélérer les progrès vers l’atteinte des cibles des ODD priorisées. Il s’agit des principaux atouts suivants :</w:t>
      </w:r>
    </w:p>
    <w:p w14:paraId="4032B040" w14:textId="77777777" w:rsidR="0028280C" w:rsidRPr="004C4DF2" w:rsidRDefault="0028280C" w:rsidP="0028280C">
      <w:pPr>
        <w:pStyle w:val="Paragraphedeliste"/>
        <w:numPr>
          <w:ilvl w:val="0"/>
          <w:numId w:val="2"/>
        </w:numPr>
        <w:jc w:val="both"/>
        <w:rPr>
          <w:rFonts w:ascii="Times New Roman" w:hAnsi="Times New Roman" w:cs="Times New Roman"/>
        </w:rPr>
      </w:pPr>
      <w:r w:rsidRPr="004C4DF2">
        <w:rPr>
          <w:rFonts w:ascii="Times New Roman" w:hAnsi="Times New Roman" w:cs="Times New Roman"/>
        </w:rPr>
        <w:t xml:space="preserve">La stabilité politique et institutionnelle du pays grâce aux avancées réalisées dans le processus de démocratisation et la promotion de l’état de droit ; </w:t>
      </w:r>
    </w:p>
    <w:p w14:paraId="73A06522" w14:textId="77777777" w:rsidR="0028280C" w:rsidRPr="004C4DF2" w:rsidRDefault="0028280C" w:rsidP="0028280C">
      <w:pPr>
        <w:pStyle w:val="Paragraphedeliste"/>
        <w:numPr>
          <w:ilvl w:val="0"/>
          <w:numId w:val="2"/>
        </w:numPr>
        <w:jc w:val="both"/>
        <w:rPr>
          <w:rFonts w:ascii="Times New Roman" w:hAnsi="Times New Roman" w:cs="Times New Roman"/>
        </w:rPr>
      </w:pPr>
      <w:r w:rsidRPr="004C4DF2">
        <w:rPr>
          <w:rFonts w:ascii="Times New Roman" w:hAnsi="Times New Roman" w:cs="Times New Roman"/>
        </w:rPr>
        <w:t>La jeunesse de la population qui est un atout majeur pour la capture du dividende démographique ;</w:t>
      </w:r>
    </w:p>
    <w:p w14:paraId="6B54BA0B" w14:textId="77777777" w:rsidR="0028280C" w:rsidRPr="004C4DF2" w:rsidRDefault="0028280C" w:rsidP="0028280C">
      <w:pPr>
        <w:pStyle w:val="Paragraphedeliste"/>
        <w:numPr>
          <w:ilvl w:val="0"/>
          <w:numId w:val="2"/>
        </w:numPr>
        <w:jc w:val="both"/>
        <w:rPr>
          <w:rFonts w:ascii="Times New Roman" w:hAnsi="Times New Roman" w:cs="Times New Roman"/>
        </w:rPr>
      </w:pPr>
      <w:r w:rsidRPr="004C4DF2">
        <w:rPr>
          <w:rFonts w:ascii="Times New Roman" w:hAnsi="Times New Roman" w:cs="Times New Roman"/>
        </w:rPr>
        <w:t>Les avancées réalisées dans la gestion du développement notamment l’existence d’une stratégie de développement qui a défini une vision stratégique claire</w:t>
      </w:r>
      <w:r>
        <w:rPr>
          <w:rFonts w:ascii="Times New Roman" w:hAnsi="Times New Roman" w:cs="Times New Roman"/>
        </w:rPr>
        <w:t xml:space="preserve"> et pris en compte les ODD,</w:t>
      </w:r>
      <w:r w:rsidRPr="004C4DF2">
        <w:rPr>
          <w:rFonts w:ascii="Times New Roman" w:hAnsi="Times New Roman" w:cs="Times New Roman"/>
        </w:rPr>
        <w:t xml:space="preserve"> et  du PDES qui en est l’outil d’opérationnalisation ainsi que le respect des critères de convergence de l’UEMOA par le pays ;</w:t>
      </w:r>
    </w:p>
    <w:p w14:paraId="2C721908" w14:textId="77777777" w:rsidR="0028280C" w:rsidRPr="004C4DF2" w:rsidRDefault="0028280C" w:rsidP="0028280C">
      <w:pPr>
        <w:pStyle w:val="Paragraphedeliste"/>
        <w:numPr>
          <w:ilvl w:val="0"/>
          <w:numId w:val="2"/>
        </w:numPr>
        <w:jc w:val="both"/>
        <w:rPr>
          <w:rFonts w:ascii="Times New Roman" w:hAnsi="Times New Roman" w:cs="Times New Roman"/>
        </w:rPr>
      </w:pPr>
      <w:r w:rsidRPr="004C4DF2">
        <w:rPr>
          <w:rFonts w:ascii="Times New Roman" w:hAnsi="Times New Roman" w:cs="Times New Roman"/>
        </w:rPr>
        <w:t>L’appartenance du Niger aux organisations continentale, régionale et sous-régionale notamment son implication effective dans les programmes sous-régionaux et la ratification du traité instituant la ZLECAF ;</w:t>
      </w:r>
    </w:p>
    <w:p w14:paraId="30370413" w14:textId="77777777" w:rsidR="0028280C" w:rsidRDefault="0028280C" w:rsidP="0028280C">
      <w:pPr>
        <w:pStyle w:val="Paragraphedeliste"/>
        <w:numPr>
          <w:ilvl w:val="0"/>
          <w:numId w:val="2"/>
        </w:numPr>
        <w:jc w:val="both"/>
        <w:rPr>
          <w:rFonts w:ascii="Times New Roman" w:hAnsi="Times New Roman" w:cs="Times New Roman"/>
        </w:rPr>
      </w:pPr>
      <w:r w:rsidRPr="004C4DF2">
        <w:rPr>
          <w:rFonts w:ascii="Times New Roman" w:hAnsi="Times New Roman" w:cs="Times New Roman"/>
        </w:rPr>
        <w:t>Le positionnement géographique stratégique du Niger qui est un carrefour entre l’Afrique du Nord et l’Afrique de l’ouest ;</w:t>
      </w:r>
    </w:p>
    <w:p w14:paraId="49A42145" w14:textId="77777777" w:rsidR="0028280C" w:rsidRDefault="0028280C" w:rsidP="0028280C">
      <w:pPr>
        <w:pStyle w:val="Paragraphedeliste"/>
        <w:numPr>
          <w:ilvl w:val="0"/>
          <w:numId w:val="2"/>
        </w:numPr>
        <w:jc w:val="both"/>
        <w:rPr>
          <w:rFonts w:ascii="Times New Roman" w:hAnsi="Times New Roman" w:cs="Times New Roman"/>
        </w:rPr>
      </w:pPr>
      <w:r w:rsidRPr="00425B6E">
        <w:rPr>
          <w:rFonts w:ascii="Times New Roman" w:hAnsi="Times New Roman" w:cs="Times New Roman"/>
        </w:rPr>
        <w:t xml:space="preserve">La </w:t>
      </w:r>
      <w:r>
        <w:rPr>
          <w:rFonts w:ascii="Times New Roman" w:hAnsi="Times New Roman" w:cs="Times New Roman"/>
        </w:rPr>
        <w:t>stratégie</w:t>
      </w:r>
      <w:r w:rsidRPr="00425B6E">
        <w:rPr>
          <w:rFonts w:ascii="Times New Roman" w:hAnsi="Times New Roman" w:cs="Times New Roman"/>
        </w:rPr>
        <w:t xml:space="preserve"> intégrée des Nations Unies pour la stabilisation </w:t>
      </w:r>
      <w:r>
        <w:rPr>
          <w:rFonts w:ascii="Times New Roman" w:hAnsi="Times New Roman" w:cs="Times New Roman"/>
        </w:rPr>
        <w:t>dans le sahel ;</w:t>
      </w:r>
    </w:p>
    <w:p w14:paraId="389D4223" w14:textId="77777777" w:rsidR="0028280C" w:rsidRPr="00425B6E" w:rsidRDefault="0028280C" w:rsidP="0028280C">
      <w:pPr>
        <w:pStyle w:val="Paragraphedeliste"/>
        <w:numPr>
          <w:ilvl w:val="0"/>
          <w:numId w:val="2"/>
        </w:numPr>
        <w:jc w:val="both"/>
        <w:rPr>
          <w:rFonts w:ascii="Times New Roman" w:hAnsi="Times New Roman" w:cs="Times New Roman"/>
        </w:rPr>
      </w:pPr>
      <w:r w:rsidRPr="00425B6E">
        <w:rPr>
          <w:rFonts w:ascii="Times New Roman" w:hAnsi="Times New Roman" w:cs="Times New Roman"/>
          <w:bCs/>
        </w:rPr>
        <w:t>L’allégement de la dette dans le cadre de l'Initiative de suspension du service de la dette (</w:t>
      </w:r>
      <w:hyperlink r:id="rId56" w:history="1">
        <w:r w:rsidRPr="00425B6E">
          <w:rPr>
            <w:rStyle w:val="Lienhypertexte"/>
            <w:rFonts w:ascii="Times New Roman" w:hAnsi="Times New Roman" w:cs="Times New Roman"/>
            <w:bCs/>
          </w:rPr>
          <w:t>DSSI</w:t>
        </w:r>
      </w:hyperlink>
      <w:r w:rsidRPr="00425B6E">
        <w:rPr>
          <w:rFonts w:ascii="Times New Roman" w:hAnsi="Times New Roman" w:cs="Times New Roman"/>
          <w:bCs/>
        </w:rPr>
        <w:t>) qui épargne le pays du poids du</w:t>
      </w:r>
      <w:r>
        <w:rPr>
          <w:rFonts w:ascii="Times New Roman" w:hAnsi="Times New Roman" w:cs="Times New Roman"/>
          <w:bCs/>
        </w:rPr>
        <w:t xml:space="preserve"> service de la dette avant 2023 ;</w:t>
      </w:r>
    </w:p>
    <w:p w14:paraId="03FF0C0A" w14:textId="77777777" w:rsidR="0028280C" w:rsidRPr="00425B6E" w:rsidRDefault="0028280C" w:rsidP="0028280C">
      <w:pPr>
        <w:pStyle w:val="Paragraphedeliste"/>
        <w:numPr>
          <w:ilvl w:val="0"/>
          <w:numId w:val="2"/>
        </w:numPr>
        <w:jc w:val="both"/>
        <w:rPr>
          <w:rFonts w:ascii="Times New Roman" w:hAnsi="Times New Roman" w:cs="Times New Roman"/>
        </w:rPr>
      </w:pPr>
      <w:r>
        <w:rPr>
          <w:rFonts w:ascii="Times New Roman" w:hAnsi="Times New Roman" w:cs="Times New Roman"/>
          <w:bCs/>
        </w:rPr>
        <w:t xml:space="preserve">L’exploitation des opportunités offertes </w:t>
      </w:r>
      <w:r w:rsidRPr="00425B6E">
        <w:rPr>
          <w:rFonts w:ascii="Times New Roman" w:hAnsi="Times New Roman" w:cs="Times New Roman"/>
          <w:bCs/>
        </w:rPr>
        <w:t xml:space="preserve">par </w:t>
      </w:r>
      <w:r w:rsidRPr="00425B6E">
        <w:rPr>
          <w:rFonts w:ascii="Times New Roman" w:hAnsi="Times New Roman" w:cs="Times New Roman"/>
        </w:rPr>
        <w:t xml:space="preserve">la Banque européenne d'investissement qui a étendu le champ de ses investissements à l'Afrique subsaharienne depuis 2018, mais dont l’engagement au Niger reste limité à quatre projets ;  </w:t>
      </w:r>
    </w:p>
    <w:p w14:paraId="6A7D8E82" w14:textId="77777777" w:rsidR="0028280C" w:rsidRDefault="0028280C" w:rsidP="0028280C">
      <w:pPr>
        <w:pStyle w:val="Paragraphedeliste"/>
        <w:numPr>
          <w:ilvl w:val="0"/>
          <w:numId w:val="2"/>
        </w:numPr>
        <w:jc w:val="both"/>
        <w:rPr>
          <w:rFonts w:ascii="Times New Roman" w:hAnsi="Times New Roman" w:cs="Times New Roman"/>
        </w:rPr>
      </w:pPr>
      <w:r>
        <w:rPr>
          <w:rFonts w:ascii="Times New Roman" w:hAnsi="Times New Roman" w:cs="Times New Roman"/>
        </w:rPr>
        <w:t>Le potentiel en ressources naturelles (Or, uranium, pétrole, etc.). L’exploitation du pétrole et des autres mines qui devraient permettre de relancer la croissance ;</w:t>
      </w:r>
    </w:p>
    <w:p w14:paraId="6DD0F7E0" w14:textId="77777777" w:rsidR="0028280C" w:rsidRPr="004C4DF2" w:rsidRDefault="0028280C" w:rsidP="0028280C">
      <w:pPr>
        <w:pStyle w:val="Paragraphedeliste"/>
        <w:numPr>
          <w:ilvl w:val="0"/>
          <w:numId w:val="2"/>
        </w:numPr>
        <w:jc w:val="both"/>
        <w:rPr>
          <w:rFonts w:ascii="Times New Roman" w:hAnsi="Times New Roman" w:cs="Times New Roman"/>
        </w:rPr>
      </w:pPr>
      <w:r>
        <w:rPr>
          <w:rFonts w:ascii="Times New Roman" w:hAnsi="Times New Roman" w:cs="Times New Roman"/>
        </w:rPr>
        <w:t xml:space="preserve">Le faible impact sanitaire et social de la COVID 19 ;   </w:t>
      </w:r>
    </w:p>
    <w:p w14:paraId="04C246BD" w14:textId="19E17C4D" w:rsidR="0028280C" w:rsidRDefault="0028280C" w:rsidP="0028280C">
      <w:pPr>
        <w:pStyle w:val="Paragraphedeliste"/>
        <w:numPr>
          <w:ilvl w:val="0"/>
          <w:numId w:val="2"/>
        </w:numPr>
        <w:jc w:val="both"/>
        <w:rPr>
          <w:rFonts w:ascii="Times New Roman" w:hAnsi="Times New Roman" w:cs="Times New Roman"/>
        </w:rPr>
      </w:pPr>
      <w:r w:rsidRPr="004C4DF2">
        <w:rPr>
          <w:rFonts w:ascii="Times New Roman" w:hAnsi="Times New Roman" w:cs="Times New Roman"/>
        </w:rPr>
        <w:lastRenderedPageBreak/>
        <w:t>Les zones agro</w:t>
      </w:r>
      <w:r w:rsidR="00BF010E">
        <w:rPr>
          <w:rFonts w:ascii="Times New Roman" w:hAnsi="Times New Roman" w:cs="Times New Roman"/>
        </w:rPr>
        <w:t>-</w:t>
      </w:r>
      <w:r w:rsidRPr="004C4DF2">
        <w:rPr>
          <w:rFonts w:ascii="Times New Roman" w:hAnsi="Times New Roman" w:cs="Times New Roman"/>
        </w:rPr>
        <w:t>écologiques à haut potentiel pour les productions agro-sylvo-pastorales, la forte diversité biologique naturelle, le potentiel animal et halieutique important et l’existence des filières aux avantages comparatifs réels, ainsi que le potentiel hydrique et solaire</w:t>
      </w:r>
      <w:r>
        <w:rPr>
          <w:rFonts w:ascii="Times New Roman" w:hAnsi="Times New Roman" w:cs="Times New Roman"/>
        </w:rPr>
        <w:t> ;</w:t>
      </w:r>
    </w:p>
    <w:p w14:paraId="2C20659A" w14:textId="77777777" w:rsidR="0028280C" w:rsidRPr="00840B67" w:rsidRDefault="0028280C" w:rsidP="0028280C">
      <w:pPr>
        <w:pStyle w:val="Paragraphedeliste"/>
        <w:numPr>
          <w:ilvl w:val="0"/>
          <w:numId w:val="2"/>
        </w:numPr>
        <w:jc w:val="both"/>
        <w:rPr>
          <w:rFonts w:ascii="Times New Roman" w:hAnsi="Times New Roman" w:cs="Times New Roman"/>
        </w:rPr>
      </w:pPr>
      <w:r>
        <w:rPr>
          <w:rFonts w:ascii="Times New Roman" w:hAnsi="Times New Roman" w:cs="Times New Roman"/>
        </w:rPr>
        <w:t xml:space="preserve">La forte présence et l’engagement des PTF dans le pays.  </w:t>
      </w:r>
      <w:r w:rsidRPr="004C4DF2">
        <w:rPr>
          <w:rFonts w:ascii="Times New Roman" w:hAnsi="Times New Roman" w:cs="Times New Roman"/>
        </w:rPr>
        <w:t xml:space="preserve">        </w:t>
      </w:r>
    </w:p>
    <w:p w14:paraId="71E68D79" w14:textId="77777777" w:rsidR="0028280C" w:rsidRPr="00E25B1F" w:rsidRDefault="0028280C" w:rsidP="00E25B1F">
      <w:pPr>
        <w:pStyle w:val="Titre1"/>
        <w:jc w:val="both"/>
        <w:rPr>
          <w:rFonts w:ascii="Bernard MT Condensed" w:hAnsi="Bernard MT Condensed"/>
          <w:sz w:val="28"/>
          <w:szCs w:val="28"/>
        </w:rPr>
      </w:pPr>
      <w:bookmarkStart w:id="434" w:name="_Toc84789702"/>
      <w:bookmarkStart w:id="435" w:name="_Toc86687768"/>
      <w:bookmarkStart w:id="436" w:name="_Toc89479450"/>
      <w:bookmarkStart w:id="437" w:name="_Toc89480948"/>
      <w:bookmarkStart w:id="438" w:name="_Toc94480190"/>
      <w:bookmarkStart w:id="439" w:name="_Toc94481851"/>
      <w:bookmarkStart w:id="440" w:name="_Toc94482114"/>
      <w:r w:rsidRPr="00E25B1F">
        <w:rPr>
          <w:rFonts w:ascii="Bernard MT Condensed" w:hAnsi="Bernard MT Condensed"/>
          <w:sz w:val="28"/>
          <w:szCs w:val="28"/>
        </w:rPr>
        <w:t>VIII - Perspectives régionales et nationales du Niger</w:t>
      </w:r>
      <w:bookmarkEnd w:id="434"/>
      <w:bookmarkEnd w:id="435"/>
      <w:bookmarkEnd w:id="436"/>
      <w:bookmarkEnd w:id="437"/>
      <w:bookmarkEnd w:id="438"/>
      <w:bookmarkEnd w:id="439"/>
      <w:bookmarkEnd w:id="440"/>
    </w:p>
    <w:p w14:paraId="34CE5491" w14:textId="77777777" w:rsidR="0028280C" w:rsidRPr="00E25B1F" w:rsidRDefault="0028280C" w:rsidP="00E25B1F">
      <w:pPr>
        <w:pStyle w:val="Titre2"/>
        <w:rPr>
          <w:rFonts w:ascii="Bernard MT Condensed" w:hAnsi="Bernard MT Condensed"/>
          <w:sz w:val="24"/>
          <w:szCs w:val="24"/>
        </w:rPr>
      </w:pPr>
      <w:bookmarkStart w:id="441" w:name="_Toc84789703"/>
      <w:bookmarkStart w:id="442" w:name="_Toc86687769"/>
      <w:bookmarkStart w:id="443" w:name="_Toc89479451"/>
      <w:bookmarkStart w:id="444" w:name="_Toc89480949"/>
      <w:bookmarkStart w:id="445" w:name="_Toc94480191"/>
      <w:bookmarkStart w:id="446" w:name="_Toc94481852"/>
      <w:bookmarkStart w:id="447" w:name="_Toc94482115"/>
      <w:r w:rsidRPr="00E25B1F">
        <w:rPr>
          <w:rFonts w:ascii="Bernard MT Condensed" w:hAnsi="Bernard MT Condensed"/>
          <w:sz w:val="24"/>
          <w:szCs w:val="24"/>
        </w:rPr>
        <w:t>VIII.1 - Perspectives régionales</w:t>
      </w:r>
      <w:bookmarkEnd w:id="441"/>
      <w:bookmarkEnd w:id="442"/>
      <w:bookmarkEnd w:id="443"/>
      <w:bookmarkEnd w:id="444"/>
      <w:bookmarkEnd w:id="445"/>
      <w:bookmarkEnd w:id="446"/>
      <w:bookmarkEnd w:id="447"/>
    </w:p>
    <w:p w14:paraId="6A8F1105" w14:textId="77777777" w:rsidR="0028280C" w:rsidRDefault="0028280C" w:rsidP="0028280C">
      <w:pPr>
        <w:jc w:val="both"/>
        <w:rPr>
          <w:rFonts w:ascii="Times New Roman" w:hAnsi="Times New Roman" w:cs="Times New Roman"/>
        </w:rPr>
      </w:pPr>
      <w:r>
        <w:rPr>
          <w:rFonts w:ascii="Times New Roman" w:hAnsi="Times New Roman" w:cs="Times New Roman"/>
        </w:rPr>
        <w:t xml:space="preserve">Au cours de l’année 2022, l’Afrique de l’Ouest continuera à faire face à la crise sanitaire due à la COVID 19, aux défis sécuritaires et environnementaux. Mais, l’impact de la pandémie sera faible grâce aux efforts accomplis par les pouvoirs publics en matière de vaccination de la population. Les défis sécuritaires devraient être atténués en raison du renforcement du déploiement des forces de défense et de sécurité dans les zones victimes des attaques des groupes terroristes et de la mise en œuvre de la stratégie intégrée des Nations Unies pour le Sahel. Celle-ci a pour objectif de s’attaquer </w:t>
      </w:r>
      <w:r w:rsidRPr="002A6F4D">
        <w:rPr>
          <w:rFonts w:ascii="Times New Roman" w:hAnsi="Times New Roman" w:cs="Times New Roman"/>
        </w:rPr>
        <w:t>aux problèmes structurels qui rendent la région du Sahel vulnérable aux c</w:t>
      </w:r>
      <w:r>
        <w:rPr>
          <w:rFonts w:ascii="Times New Roman" w:hAnsi="Times New Roman" w:cs="Times New Roman"/>
        </w:rPr>
        <w:t xml:space="preserve">onflits et à l’insécurité, tels </w:t>
      </w:r>
      <w:r w:rsidRPr="002A6F4D">
        <w:rPr>
          <w:rFonts w:ascii="Times New Roman" w:hAnsi="Times New Roman" w:cs="Times New Roman"/>
        </w:rPr>
        <w:t xml:space="preserve">que la pauvreté, le sous-développement et la faible gouvernance, grâce à </w:t>
      </w:r>
      <w:r>
        <w:rPr>
          <w:rFonts w:ascii="Times New Roman" w:hAnsi="Times New Roman" w:cs="Times New Roman"/>
        </w:rPr>
        <w:t xml:space="preserve">l’effort collectif des bureaux, </w:t>
      </w:r>
      <w:r w:rsidRPr="002A6F4D">
        <w:rPr>
          <w:rFonts w:ascii="Times New Roman" w:hAnsi="Times New Roman" w:cs="Times New Roman"/>
        </w:rPr>
        <w:t xml:space="preserve">agences, fonds et programmes des Nations Unies, en employant une </w:t>
      </w:r>
      <w:r>
        <w:rPr>
          <w:rFonts w:ascii="Times New Roman" w:hAnsi="Times New Roman" w:cs="Times New Roman"/>
        </w:rPr>
        <w:t xml:space="preserve">approche intégrée et régionale. </w:t>
      </w:r>
      <w:r w:rsidRPr="002A6F4D">
        <w:rPr>
          <w:rFonts w:ascii="Times New Roman" w:hAnsi="Times New Roman" w:cs="Times New Roman"/>
        </w:rPr>
        <w:t>Un autre aspect essentiel de l’UNISS est d’assurer une plus grande co</w:t>
      </w:r>
      <w:r>
        <w:rPr>
          <w:rFonts w:ascii="Times New Roman" w:hAnsi="Times New Roman" w:cs="Times New Roman"/>
        </w:rPr>
        <w:t xml:space="preserve">hérence entre les interventions </w:t>
      </w:r>
      <w:r w:rsidRPr="002A6F4D">
        <w:rPr>
          <w:rFonts w:ascii="Times New Roman" w:hAnsi="Times New Roman" w:cs="Times New Roman"/>
        </w:rPr>
        <w:t>internationales plus larges dans la région du Sahel</w:t>
      </w:r>
      <w:r>
        <w:rPr>
          <w:rStyle w:val="Appelnotedebasdep"/>
          <w:rFonts w:ascii="Times New Roman" w:hAnsi="Times New Roman" w:cs="Times New Roman"/>
        </w:rPr>
        <w:footnoteReference w:id="131"/>
      </w:r>
      <w:r w:rsidRPr="002A6F4D">
        <w:rPr>
          <w:rFonts w:ascii="Times New Roman" w:hAnsi="Times New Roman" w:cs="Times New Roman"/>
        </w:rPr>
        <w:t>.</w:t>
      </w:r>
    </w:p>
    <w:p w14:paraId="0D8CDE90" w14:textId="77777777" w:rsidR="0028280C" w:rsidRDefault="0028280C" w:rsidP="0028280C">
      <w:pPr>
        <w:jc w:val="both"/>
        <w:rPr>
          <w:rFonts w:ascii="Times New Roman" w:hAnsi="Times New Roman" w:cs="Times New Roman"/>
        </w:rPr>
      </w:pPr>
      <w:r>
        <w:rPr>
          <w:rFonts w:ascii="Times New Roman" w:hAnsi="Times New Roman" w:cs="Times New Roman"/>
        </w:rPr>
        <w:t>En ce qui concerne les perspectives économiques, l’UEMOA signale les tendances suivantes</w:t>
      </w:r>
      <w:r>
        <w:rPr>
          <w:rStyle w:val="Appelnotedebasdep"/>
          <w:rFonts w:ascii="Times New Roman" w:hAnsi="Times New Roman" w:cs="Times New Roman"/>
        </w:rPr>
        <w:footnoteReference w:id="132"/>
      </w:r>
      <w:r>
        <w:rPr>
          <w:rFonts w:ascii="Times New Roman" w:hAnsi="Times New Roman" w:cs="Times New Roman"/>
        </w:rPr>
        <w:t xml:space="preserve"> :  </w:t>
      </w:r>
    </w:p>
    <w:p w14:paraId="7042E372" w14:textId="77777777" w:rsidR="0028280C" w:rsidRPr="002A6F4D" w:rsidRDefault="0028280C" w:rsidP="0028280C">
      <w:pPr>
        <w:pStyle w:val="Paragraphedeliste"/>
        <w:numPr>
          <w:ilvl w:val="0"/>
          <w:numId w:val="3"/>
        </w:numPr>
        <w:jc w:val="both"/>
        <w:rPr>
          <w:rFonts w:ascii="Times New Roman" w:hAnsi="Times New Roman" w:cs="Times New Roman"/>
        </w:rPr>
      </w:pPr>
      <w:r w:rsidRPr="002A6F4D">
        <w:rPr>
          <w:rFonts w:ascii="Times New Roman" w:hAnsi="Times New Roman" w:cs="Times New Roman"/>
        </w:rPr>
        <w:t xml:space="preserve">La croissance, portée par tous les secteurs, s'accélèrerait en 2022 pour atteindre 6,9%, puis se situer à 7,5% en 2023 et, respectivement, à 7,0% et 6,9% en 2024 et 2025. Le secteur secondaire serait le plus dynamique sur la période, avec une hausse moyenne de 8,9%, en lien avec l'augmentation de la production pétrolière au Niger et au Sénégal et la production aurifère qui bénéficierait de la bonne tenue des cours internationaux, entre autres facteurs. </w:t>
      </w:r>
    </w:p>
    <w:p w14:paraId="511C81E7" w14:textId="77777777" w:rsidR="0028280C" w:rsidRPr="002A6F4D" w:rsidRDefault="0028280C" w:rsidP="0028280C">
      <w:pPr>
        <w:pStyle w:val="Paragraphedeliste"/>
        <w:numPr>
          <w:ilvl w:val="0"/>
          <w:numId w:val="3"/>
        </w:numPr>
        <w:jc w:val="both"/>
        <w:rPr>
          <w:rFonts w:ascii="Times New Roman" w:hAnsi="Times New Roman" w:cs="Times New Roman"/>
        </w:rPr>
      </w:pPr>
      <w:r w:rsidRPr="002A6F4D">
        <w:rPr>
          <w:rFonts w:ascii="Times New Roman" w:hAnsi="Times New Roman" w:cs="Times New Roman"/>
        </w:rPr>
        <w:t xml:space="preserve">Une résorption continue du déficit budgétaire global qui atteindrait 2,7% du PIB en 2024 grâce à une consolidation des recettes fiscales et une maîtrise des charges. Sur la période 2022-2025, les recettes totales ressortiraient, en moyenne, à 18,0% du PIB et les dépenses totales à 21,0%. Le déficit budgétaire global se situerait donc à 3,8% du PIB en 2022, puis à 3,1% en 2023 et, respectivement, à 2,7% et 2,4% en 2024 et 2025. </w:t>
      </w:r>
    </w:p>
    <w:p w14:paraId="4DB04D90" w14:textId="77777777" w:rsidR="0028280C" w:rsidRPr="002A6F4D" w:rsidRDefault="0028280C" w:rsidP="0028280C">
      <w:pPr>
        <w:pStyle w:val="Paragraphedeliste"/>
        <w:numPr>
          <w:ilvl w:val="0"/>
          <w:numId w:val="3"/>
        </w:numPr>
        <w:jc w:val="both"/>
        <w:rPr>
          <w:rFonts w:ascii="Times New Roman" w:hAnsi="Times New Roman" w:cs="Times New Roman"/>
          <w:sz w:val="28"/>
          <w:szCs w:val="28"/>
        </w:rPr>
      </w:pPr>
      <w:r w:rsidRPr="002A6F4D">
        <w:rPr>
          <w:rFonts w:ascii="Times New Roman" w:hAnsi="Times New Roman" w:cs="Times New Roman"/>
        </w:rPr>
        <w:t>Mais, la reprise de la croissance de l'Union projetée sur la période 2022-2025 (+7,1% en moyenne) restera fragile, au regard de l'incertitude persistante quant à la durée de la pandémie et de la lenteur dans la vaccination des populations. Par ailleurs, elle restera subordonnée à la poursuite des projets d'investissement public, dans un contexte de contreperformance dans la mobilisation des recettes, et à la mise en œuvre efficace des plans nationaux de relance économique dont les financements ne sont pas totalement acquis.</w:t>
      </w:r>
    </w:p>
    <w:p w14:paraId="7F9C748F" w14:textId="77777777" w:rsidR="0028280C" w:rsidRPr="00E25B1F" w:rsidRDefault="0028280C" w:rsidP="00E25B1F">
      <w:pPr>
        <w:pStyle w:val="Titre2"/>
        <w:rPr>
          <w:rFonts w:ascii="Bernard MT Condensed" w:hAnsi="Bernard MT Condensed"/>
          <w:sz w:val="24"/>
          <w:szCs w:val="24"/>
        </w:rPr>
      </w:pPr>
      <w:r w:rsidRPr="00796FFE">
        <w:t xml:space="preserve"> </w:t>
      </w:r>
      <w:bookmarkStart w:id="448" w:name="_Toc84789704"/>
      <w:bookmarkStart w:id="449" w:name="_Toc86687770"/>
      <w:bookmarkStart w:id="450" w:name="_Toc89479452"/>
      <w:bookmarkStart w:id="451" w:name="_Toc89480950"/>
      <w:bookmarkStart w:id="452" w:name="_Toc94480192"/>
      <w:bookmarkStart w:id="453" w:name="_Toc94481853"/>
      <w:bookmarkStart w:id="454" w:name="_Toc94482116"/>
      <w:r w:rsidRPr="00E25B1F">
        <w:rPr>
          <w:rFonts w:ascii="Bernard MT Condensed" w:hAnsi="Bernard MT Condensed"/>
          <w:sz w:val="24"/>
          <w:szCs w:val="24"/>
        </w:rPr>
        <w:t>VIII.2 - Perspectives nationales</w:t>
      </w:r>
      <w:bookmarkEnd w:id="448"/>
      <w:bookmarkEnd w:id="449"/>
      <w:bookmarkEnd w:id="450"/>
      <w:bookmarkEnd w:id="451"/>
      <w:bookmarkEnd w:id="452"/>
      <w:bookmarkEnd w:id="453"/>
      <w:bookmarkEnd w:id="454"/>
    </w:p>
    <w:p w14:paraId="30309DB1" w14:textId="77777777" w:rsidR="0028280C" w:rsidRPr="002A6F4D" w:rsidRDefault="0028280C" w:rsidP="0028280C">
      <w:pPr>
        <w:jc w:val="both"/>
        <w:rPr>
          <w:rFonts w:ascii="Times New Roman" w:hAnsi="Times New Roman" w:cs="Times New Roman"/>
        </w:rPr>
      </w:pPr>
      <w:r>
        <w:rPr>
          <w:rFonts w:ascii="Times New Roman" w:hAnsi="Times New Roman" w:cs="Times New Roman"/>
        </w:rPr>
        <w:t>Le Niger pourra bénéficier des perspectives nationales favorables pour accélérer les progrès vers l’atteinte des cibles des ODD priorisés. Mais, la poursuite de l’application effective et rigoureuse des mesures visant à réduire l’impact de la pandémie et les défis sécuritaires ainsi que le renforcement de la résilience des populations au changement climatique, aux risques et aux catastrophes naturels seront déterminants pour la concrétisation de ces tendances. L’UEMOA annonce les perspectives suivantes</w:t>
      </w:r>
      <w:r>
        <w:rPr>
          <w:rStyle w:val="Appelnotedebasdep"/>
          <w:rFonts w:ascii="Times New Roman" w:hAnsi="Times New Roman" w:cs="Times New Roman"/>
        </w:rPr>
        <w:footnoteReference w:id="133"/>
      </w:r>
      <w:r>
        <w:rPr>
          <w:rFonts w:ascii="Times New Roman" w:hAnsi="Times New Roman" w:cs="Times New Roman"/>
        </w:rPr>
        <w:t xml:space="preserve"> :    </w:t>
      </w:r>
    </w:p>
    <w:p w14:paraId="541E5FFF" w14:textId="77777777" w:rsidR="0028280C" w:rsidRPr="00425B6E" w:rsidRDefault="0028280C" w:rsidP="0028280C">
      <w:pPr>
        <w:pStyle w:val="Paragraphedeliste"/>
        <w:numPr>
          <w:ilvl w:val="0"/>
          <w:numId w:val="4"/>
        </w:numPr>
        <w:jc w:val="both"/>
        <w:rPr>
          <w:rFonts w:ascii="Times New Roman" w:hAnsi="Times New Roman" w:cs="Times New Roman"/>
        </w:rPr>
      </w:pPr>
      <w:r w:rsidRPr="00425B6E">
        <w:rPr>
          <w:rFonts w:ascii="Times New Roman" w:hAnsi="Times New Roman" w:cs="Times New Roman"/>
        </w:rPr>
        <w:lastRenderedPageBreak/>
        <w:t>Une forte accélération de la croissance attendue à partir de 2022, grâce au démarrage de la production de pétrole brut destinée à l'exportation et la poursuite de grands projets publics d'infrastructures. Ainsi, la croissance devrait s'accélérer dans tous les secteurs, à savoir le primaire (+5,4%), le secondaire (+3,6%) et le tertiaire (+5,3%). Sur la période 2022-2025, la production pétrolière devrait augmenter significativement, avec le début de d'exploitation du brut destiné à l'exportation au second semestre 2022. Du côté de la demande, sur la période 2021-2025, la croissance serait portée par la consommation finale (+4,9%, en moyenne) et l'investissement (+8,8%, en moyenne).</w:t>
      </w:r>
    </w:p>
    <w:p w14:paraId="2C55AB87" w14:textId="77777777" w:rsidR="0028280C" w:rsidRPr="00425B6E" w:rsidRDefault="0028280C" w:rsidP="0028280C">
      <w:pPr>
        <w:pStyle w:val="Paragraphedeliste"/>
        <w:numPr>
          <w:ilvl w:val="0"/>
          <w:numId w:val="4"/>
        </w:numPr>
        <w:jc w:val="both"/>
        <w:rPr>
          <w:rFonts w:ascii="Times New Roman" w:hAnsi="Times New Roman" w:cs="Times New Roman"/>
        </w:rPr>
      </w:pPr>
      <w:r w:rsidRPr="00425B6E">
        <w:rPr>
          <w:rFonts w:ascii="Times New Roman" w:hAnsi="Times New Roman" w:cs="Times New Roman"/>
        </w:rPr>
        <w:t xml:space="preserve">L'inflation resterait maîtrisée sur la période, avec un taux moyen de 2,0%. </w:t>
      </w:r>
    </w:p>
    <w:p w14:paraId="6DA2377A" w14:textId="08865D1E" w:rsidR="0028280C" w:rsidRPr="00425B6E" w:rsidRDefault="0028280C" w:rsidP="0028280C">
      <w:pPr>
        <w:pStyle w:val="Paragraphedeliste"/>
        <w:numPr>
          <w:ilvl w:val="0"/>
          <w:numId w:val="4"/>
        </w:numPr>
        <w:jc w:val="both"/>
        <w:rPr>
          <w:rFonts w:ascii="Times New Roman" w:hAnsi="Times New Roman" w:cs="Times New Roman"/>
        </w:rPr>
      </w:pPr>
      <w:r w:rsidRPr="00425B6E">
        <w:rPr>
          <w:rFonts w:ascii="Times New Roman" w:hAnsi="Times New Roman" w:cs="Times New Roman"/>
        </w:rPr>
        <w:t>Le déficit public rapporté au PIB sera de 3,0% en 2023 grâce à un meilleur recouvrement des recettes, suite au dynamisme de l'activité économique et à la mise en œuvre efficace des réformes liées à la maîtrise et à l'efficacité des dépenses publiques, contribuant à un taux d'endettement moyen de 46,9%</w:t>
      </w:r>
      <w:r w:rsidR="00696BD2">
        <w:rPr>
          <w:rFonts w:ascii="Times New Roman" w:hAnsi="Times New Roman" w:cs="Times New Roman"/>
        </w:rPr>
        <w:t>.</w:t>
      </w:r>
      <w:r w:rsidRPr="00425B6E">
        <w:rPr>
          <w:rFonts w:ascii="Times New Roman" w:hAnsi="Times New Roman" w:cs="Times New Roman"/>
        </w:rPr>
        <w:t xml:space="preserve"> Le déficit budgétaire ressortirait ainsi à 3,9% du PIS en 2021, puis à 3,2% en 2022, après 3,0% en 2023 et, respectivement, 2,7% et 2,4% en 2024 et 2025. </w:t>
      </w:r>
    </w:p>
    <w:p w14:paraId="03373092" w14:textId="77777777" w:rsidR="0028280C" w:rsidRPr="00425B6E" w:rsidRDefault="0028280C" w:rsidP="0028280C">
      <w:pPr>
        <w:pStyle w:val="Paragraphedeliste"/>
        <w:numPr>
          <w:ilvl w:val="0"/>
          <w:numId w:val="4"/>
        </w:numPr>
        <w:jc w:val="both"/>
        <w:rPr>
          <w:rFonts w:ascii="Times New Roman" w:hAnsi="Times New Roman" w:cs="Times New Roman"/>
        </w:rPr>
      </w:pPr>
      <w:r w:rsidRPr="00425B6E">
        <w:rPr>
          <w:rFonts w:ascii="Times New Roman" w:hAnsi="Times New Roman" w:cs="Times New Roman"/>
        </w:rPr>
        <w:t>La dette publique, quant à elle, ressortirait à 45,0% du PIB en 2021, 45,5% en 2022, 46,3% en 2023, avant de se situer à 48,2% et 49,5%, respectivement, en 2024 et 2025.</w:t>
      </w:r>
    </w:p>
    <w:p w14:paraId="774EFE38" w14:textId="5A99D3BE" w:rsidR="0028280C" w:rsidRDefault="0028280C" w:rsidP="00696BD2">
      <w:pPr>
        <w:pStyle w:val="Paragraphedeliste"/>
        <w:numPr>
          <w:ilvl w:val="0"/>
          <w:numId w:val="4"/>
        </w:numPr>
        <w:jc w:val="both"/>
      </w:pPr>
      <w:r w:rsidRPr="00696BD2">
        <w:rPr>
          <w:rFonts w:ascii="Times New Roman" w:hAnsi="Times New Roman" w:cs="Times New Roman"/>
        </w:rPr>
        <w:t>Le solde global de la balance des paiements resterait excédentaire durant toute la période et la masse monétaire se consoliderait avec un accroissement des créances sur les autres secteurs. Après un déficit de 81,5 milliards enregistré en 2020, le solde global de la balance des paiements serait, en moyenne, excédentaire de 722,7 milliards (+7,1% du PIS) sur la période 2021-2025, et le solde des transactions courantes représenterait -3,9% du PIB.</w:t>
      </w:r>
    </w:p>
    <w:sectPr w:rsidR="0028280C">
      <w:footerReference w:type="default" r:id="rId57"/>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AADDC0" w14:textId="77777777" w:rsidR="00E02FE2" w:rsidRDefault="00E02FE2" w:rsidP="0028280C">
      <w:pPr>
        <w:spacing w:after="0" w:line="240" w:lineRule="auto"/>
      </w:pPr>
      <w:r>
        <w:separator/>
      </w:r>
    </w:p>
  </w:endnote>
  <w:endnote w:type="continuationSeparator" w:id="0">
    <w:p w14:paraId="177F3D4E" w14:textId="77777777" w:rsidR="00E02FE2" w:rsidRDefault="00E02FE2" w:rsidP="002828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Bernard MT Condensed">
    <w:panose1 w:val="020508060609050204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Montserrat">
    <w:altName w:val="Calibri"/>
    <w:panose1 w:val="00000000000000000000"/>
    <w:charset w:val="00"/>
    <w:family w:val="swiss"/>
    <w:notTrueType/>
    <w:pitch w:val="default"/>
    <w:sig w:usb0="00000003" w:usb1="00000000" w:usb2="00000000" w:usb3="00000000" w:csb0="00000001" w:csb1="00000000"/>
  </w:font>
  <w:font w:name="BatangChe">
    <w:charset w:val="81"/>
    <w:family w:val="modern"/>
    <w:pitch w:val="fixed"/>
    <w:sig w:usb0="B00002AF" w:usb1="69D77CFB" w:usb2="00000030" w:usb3="00000000" w:csb0="0008009F" w:csb1="00000000"/>
  </w:font>
  <w:font w:name="Glober Bold">
    <w:altName w:val="Calibr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InterstateCondensed-Light">
    <w:altName w:val="Yu Gothic"/>
    <w:panose1 w:val="00000000000000000000"/>
    <w:charset w:val="80"/>
    <w:family w:val="swiss"/>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Roboto">
    <w:altName w:val="Arial"/>
    <w:charset w:val="00"/>
    <w:family w:val="auto"/>
    <w:pitch w:val="variable"/>
    <w:sig w:usb0="00000001" w:usb1="5000205B" w:usb2="0000002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20150218"/>
      <w:docPartObj>
        <w:docPartGallery w:val="Page Numbers (Bottom of Page)"/>
        <w:docPartUnique/>
      </w:docPartObj>
    </w:sdtPr>
    <w:sdtContent>
      <w:p w14:paraId="06CEBF14" w14:textId="4D6D19D6" w:rsidR="00E02FE2" w:rsidRDefault="00E02FE2">
        <w:pPr>
          <w:pStyle w:val="Pieddepage"/>
        </w:pPr>
        <w:r>
          <w:rPr>
            <w:noProof/>
            <w:lang w:eastAsia="fr-FR"/>
          </w:rPr>
          <mc:AlternateContent>
            <mc:Choice Requires="wps">
              <w:drawing>
                <wp:anchor distT="0" distB="0" distL="114300" distR="114300" simplePos="0" relativeHeight="251659264" behindDoc="0" locked="0" layoutInCell="0" allowOverlap="1" wp14:anchorId="6E7397F9" wp14:editId="1D567826">
                  <wp:simplePos x="0" y="0"/>
                  <wp:positionH relativeFrom="rightMargin">
                    <wp:posOffset>-430091</wp:posOffset>
                  </wp:positionH>
                  <wp:positionV relativeFrom="bottomMargin">
                    <wp:posOffset>790673</wp:posOffset>
                  </wp:positionV>
                  <wp:extent cx="368300" cy="274320"/>
                  <wp:effectExtent l="9525" t="9525" r="12700" b="11430"/>
                  <wp:wrapNone/>
                  <wp:docPr id="13" name="Carré corné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14:paraId="639A0E49" w14:textId="77777777" w:rsidR="00E02FE2" w:rsidRDefault="00E02FE2">
                              <w:pPr>
                                <w:jc w:val="center"/>
                              </w:pPr>
                              <w:r>
                                <w:fldChar w:fldCharType="begin"/>
                              </w:r>
                              <w:r>
                                <w:instrText>PAGE    \* MERGEFORMAT</w:instrText>
                              </w:r>
                              <w:r>
                                <w:fldChar w:fldCharType="separate"/>
                              </w:r>
                              <w:r w:rsidRPr="00EF7E8E">
                                <w:rPr>
                                  <w:noProof/>
                                  <w:sz w:val="16"/>
                                  <w:szCs w:val="16"/>
                                </w:rPr>
                                <w:t>82</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7397F9"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Carré corné 13" o:spid="_x0000_s1034" type="#_x0000_t65" style="position:absolute;margin-left:-33.85pt;margin-top:62.25pt;width:29pt;height:21.6pt;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" o:allowincell="f" adj="14135" strokecolor="gray" strokeweight=".25pt">
                  <v:textbox>
                    <w:txbxContent>
                      <w:p w14:paraId="639A0E49" w14:textId="77777777" w:rsidR="00364977" w:rsidRDefault="00364977">
                        <w:pPr>
                          <w:jc w:val="center"/>
                        </w:pPr>
                        <w:r>
                          <w:fldChar w:fldCharType="begin"/>
                        </w:r>
                        <w:r>
                          <w:instrText>PAGE    \* MERGEFORMAT</w:instrText>
                        </w:r>
                        <w:r>
                          <w:fldChar w:fldCharType="separate"/>
                        </w:r>
                        <w:r w:rsidRPr="00EF7E8E">
                          <w:rPr>
                            <w:noProof/>
                            <w:sz w:val="16"/>
                            <w:szCs w:val="16"/>
                          </w:rPr>
                          <w:t>82</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669EB4" w14:textId="77777777" w:rsidR="00E02FE2" w:rsidRDefault="00E02FE2" w:rsidP="0028280C">
      <w:pPr>
        <w:spacing w:after="0" w:line="240" w:lineRule="auto"/>
      </w:pPr>
      <w:r>
        <w:separator/>
      </w:r>
    </w:p>
  </w:footnote>
  <w:footnote w:type="continuationSeparator" w:id="0">
    <w:p w14:paraId="62354D62" w14:textId="77777777" w:rsidR="00E02FE2" w:rsidRDefault="00E02FE2" w:rsidP="0028280C">
      <w:pPr>
        <w:spacing w:after="0" w:line="240" w:lineRule="auto"/>
      </w:pPr>
      <w:r>
        <w:continuationSeparator/>
      </w:r>
    </w:p>
  </w:footnote>
  <w:footnote w:id="1">
    <w:p w14:paraId="62037098" w14:textId="50D4EACC" w:rsidR="00E02FE2" w:rsidRPr="00EE11E6" w:rsidRDefault="00E02FE2" w:rsidP="00EE11E6">
      <w:pPr>
        <w:pStyle w:val="Notedebasdepage"/>
        <w:jc w:val="both"/>
      </w:pPr>
      <w:r>
        <w:rPr>
          <w:rStyle w:val="Appelnotedebasdep"/>
        </w:rPr>
        <w:footnoteRef/>
      </w:r>
      <w:r>
        <w:t xml:space="preserve"> Le résumé exécutif n’expose pas toutes les causes immédiates, sous-jacentes et structurelles identifiées par les groupes de travail. Les arbres de problèmes élaborés par les groupes de travail fournissent plus d’informations. Ils sont joints en annexe.   </w:t>
      </w:r>
    </w:p>
  </w:footnote>
  <w:footnote w:id="2">
    <w:p w14:paraId="2A3DD176" w14:textId="77777777" w:rsidR="00E02FE2" w:rsidRPr="00C56D46" w:rsidRDefault="00E02FE2" w:rsidP="00265841">
      <w:pPr>
        <w:pStyle w:val="Notedebasdepage"/>
        <w:jc w:val="both"/>
        <w:rPr>
          <w:rFonts w:ascii="Times New Roman" w:hAnsi="Times New Roman" w:cs="Times New Roman"/>
        </w:rPr>
      </w:pPr>
      <w:r>
        <w:rPr>
          <w:rStyle w:val="Appelnotedebasdep"/>
        </w:rPr>
        <w:footnoteRef/>
      </w:r>
      <w:r w:rsidRPr="005D561E">
        <w:t xml:space="preserve"> </w:t>
      </w:r>
      <w:r w:rsidRPr="00C56D46">
        <w:rPr>
          <w:rFonts w:ascii="Times New Roman" w:hAnsi="Times New Roman" w:cs="Times New Roman"/>
        </w:rPr>
        <w:t>Banque mondiale (2007), The Cost of Being Landlocked: Logistics Costs and Supply Chain Reliability (Le prix de l’enclavement : coûts de logistique et fiabilité de la chaîne logistique). L’indice de connectivité initial de la CNUCED a été ajusté pour les pays enclavés en utilisant une clé de pondération basée sur le score des ports utilisés par les pays enclavés. Le score de performance est distribué de 0 à 100. Le score le plus élevé traduit la</w:t>
      </w:r>
    </w:p>
    <w:p w14:paraId="20996F6A" w14:textId="77777777" w:rsidR="00E02FE2" w:rsidRPr="005D561E" w:rsidRDefault="00E02FE2" w:rsidP="00265841">
      <w:pPr>
        <w:pStyle w:val="Notedebasdepage"/>
        <w:jc w:val="both"/>
      </w:pPr>
      <w:r w:rsidRPr="00C56D46">
        <w:rPr>
          <w:rFonts w:ascii="Times New Roman" w:hAnsi="Times New Roman" w:cs="Times New Roman"/>
        </w:rPr>
        <w:t>meilleure situation.</w:t>
      </w:r>
    </w:p>
  </w:footnote>
  <w:footnote w:id="3">
    <w:p w14:paraId="37E155F7" w14:textId="77777777" w:rsidR="00E02FE2" w:rsidRPr="00691A31" w:rsidRDefault="00E02FE2" w:rsidP="008B766A">
      <w:pPr>
        <w:pStyle w:val="Notedebasdepage"/>
      </w:pPr>
      <w:r>
        <w:rPr>
          <w:rStyle w:val="Appelnotedebasdep"/>
        </w:rPr>
        <w:footnoteRef/>
      </w:r>
      <w:r>
        <w:t xml:space="preserve"> </w:t>
      </w:r>
      <w:hyperlink r:id="rId1" w:history="1">
        <w:r w:rsidRPr="00954733">
          <w:rPr>
            <w:rStyle w:val="Lienhypertexte"/>
            <w:rFonts w:ascii="Times New Roman" w:eastAsia="Times New Roman" w:hAnsi="Times New Roman" w:cs="Times New Roman"/>
            <w:sz w:val="18"/>
            <w:szCs w:val="18"/>
          </w:rPr>
          <w:t>https://www.un.org/en/development/desa/population/migration/data/estimates2/countryprofiles.asp</w:t>
        </w:r>
      </w:hyperlink>
    </w:p>
  </w:footnote>
  <w:footnote w:id="4">
    <w:p w14:paraId="3953FD4A" w14:textId="77777777" w:rsidR="00E02FE2" w:rsidRPr="00332616" w:rsidRDefault="00E02FE2" w:rsidP="0028280C">
      <w:pPr>
        <w:pStyle w:val="Notedebasdepage"/>
        <w:jc w:val="both"/>
        <w:rPr>
          <w:rFonts w:ascii="Times New Roman" w:hAnsi="Times New Roman" w:cs="Times New Roman"/>
        </w:rPr>
      </w:pPr>
      <w:r w:rsidRPr="00332616">
        <w:rPr>
          <w:rStyle w:val="Appelnotedebasdep"/>
          <w:rFonts w:ascii="Times New Roman" w:hAnsi="Times New Roman" w:cs="Times New Roman"/>
        </w:rPr>
        <w:footnoteRef/>
      </w:r>
      <w:r w:rsidRPr="00332616">
        <w:rPr>
          <w:rFonts w:ascii="Times New Roman" w:hAnsi="Times New Roman" w:cs="Times New Roman"/>
        </w:rPr>
        <w:t xml:space="preserve"> Cf. FMI - Note d’analyse sur la transition démographique au Niger et son impact potentiel sur l’économie - commentée par Aboubacar Yacouba Barma - La tribune Afrique - Juillet 2017  </w:t>
      </w:r>
    </w:p>
  </w:footnote>
  <w:footnote w:id="5">
    <w:p w14:paraId="00E82ECB" w14:textId="41B0C8E8" w:rsidR="00E02FE2" w:rsidRPr="004E422D" w:rsidRDefault="00E02FE2" w:rsidP="008372E1">
      <w:pPr>
        <w:pStyle w:val="Notedebasdepage"/>
      </w:pPr>
      <w:r>
        <w:rPr>
          <w:rStyle w:val="Appelnotedebasdep"/>
        </w:rPr>
        <w:footnoteRef/>
      </w:r>
      <w:r>
        <w:t xml:space="preserve"> </w:t>
      </w:r>
      <w:r w:rsidRPr="00A456A4">
        <w:rPr>
          <w:rFonts w:ascii="Times New Roman" w:hAnsi="Times New Roman" w:cs="Times New Roman"/>
        </w:rPr>
        <w:t>Propos du Général Ali Chaïbou, ex Président de la République du Niger</w:t>
      </w:r>
    </w:p>
  </w:footnote>
  <w:footnote w:id="6">
    <w:p w14:paraId="48469F1A" w14:textId="77777777" w:rsidR="00E02FE2" w:rsidRPr="00FE152A" w:rsidRDefault="00E02FE2" w:rsidP="0028280C">
      <w:pPr>
        <w:pStyle w:val="Notedebasdepage"/>
        <w:jc w:val="both"/>
        <w:rPr>
          <w:rFonts w:ascii="Times New Roman" w:hAnsi="Times New Roman" w:cs="Times New Roman"/>
        </w:rPr>
      </w:pPr>
      <w:r>
        <w:rPr>
          <w:rStyle w:val="Appelnotedebasdep"/>
        </w:rPr>
        <w:footnoteRef/>
      </w:r>
      <w:r>
        <w:t xml:space="preserve"> </w:t>
      </w:r>
      <w:r w:rsidRPr="00FE152A">
        <w:rPr>
          <w:rFonts w:ascii="Times New Roman" w:hAnsi="Times New Roman" w:cs="Times New Roman"/>
        </w:rPr>
        <w:t>Cet amendement qui permet leur représentation au sein de la CENI a été contesté par l’opposition qui argumente que la constitution devrait être préalablement révisée pour reconnaitre les partis non affiliés</w:t>
      </w:r>
    </w:p>
  </w:footnote>
  <w:footnote w:id="7">
    <w:p w14:paraId="58528F78" w14:textId="77777777" w:rsidR="00E02FE2" w:rsidRPr="002D0E8D" w:rsidRDefault="00E02FE2" w:rsidP="0028280C">
      <w:pPr>
        <w:pStyle w:val="Notedebasdepage"/>
        <w:rPr>
          <w:lang w:val="en-US"/>
        </w:rPr>
      </w:pPr>
      <w:r>
        <w:rPr>
          <w:rStyle w:val="Appelnotedebasdep"/>
        </w:rPr>
        <w:footnoteRef/>
      </w:r>
      <w:r w:rsidRPr="002D0E8D">
        <w:rPr>
          <w:lang w:val="en-US"/>
        </w:rPr>
        <w:t xml:space="preserve"> </w:t>
      </w:r>
      <w:r w:rsidRPr="00157827">
        <w:rPr>
          <w:rFonts w:ascii="Times New Roman" w:hAnsi="Times New Roman" w:cs="Times New Roman"/>
          <w:color w:val="000000" w:themeColor="text1"/>
          <w:lang w:val="en-US"/>
        </w:rPr>
        <w:t xml:space="preserve">Cf. Security risk management (SRM) </w:t>
      </w:r>
      <w:r>
        <w:rPr>
          <w:rFonts w:ascii="Times New Roman" w:hAnsi="Times New Roman" w:cs="Times New Roman"/>
          <w:color w:val="000000" w:themeColor="text1"/>
          <w:lang w:val="en-US"/>
        </w:rPr>
        <w:t>-</w:t>
      </w:r>
      <w:r w:rsidRPr="00157827">
        <w:rPr>
          <w:rFonts w:ascii="Times New Roman" w:hAnsi="Times New Roman" w:cs="Times New Roman"/>
          <w:color w:val="000000" w:themeColor="text1"/>
          <w:lang w:val="en-US"/>
        </w:rPr>
        <w:t xml:space="preserve"> UNDSS -05 octobre 2019 - 04 0ctobre 2020</w:t>
      </w:r>
    </w:p>
  </w:footnote>
  <w:footnote w:id="8">
    <w:p w14:paraId="7256E56D" w14:textId="77777777" w:rsidR="00E02FE2" w:rsidRPr="00F45EF9" w:rsidRDefault="00E02FE2" w:rsidP="0028280C">
      <w:pPr>
        <w:pStyle w:val="Notedebasdepage"/>
      </w:pPr>
      <w:r>
        <w:rPr>
          <w:rStyle w:val="Appelnotedebasdep"/>
        </w:rPr>
        <w:footnoteRef/>
      </w:r>
      <w:r>
        <w:t xml:space="preserve"> </w:t>
      </w:r>
      <w:r w:rsidRPr="00F45EF9">
        <w:rPr>
          <w:rFonts w:ascii="Times New Roman" w:hAnsi="Times New Roman" w:cs="Times New Roman"/>
        </w:rPr>
        <w:t>Cf. Rapport de progrès de la mise en œuvre de la stratégie intégrée des Nations Unies au Sahel – Janvier 2019 – décembre 2020</w:t>
      </w:r>
    </w:p>
  </w:footnote>
  <w:footnote w:id="9">
    <w:p w14:paraId="0AAC89F3" w14:textId="77777777" w:rsidR="00E02FE2" w:rsidRPr="00156DCA" w:rsidRDefault="00E02FE2" w:rsidP="0028280C">
      <w:pPr>
        <w:pStyle w:val="Notedebasdepage"/>
        <w:rPr>
          <w:sz w:val="18"/>
          <w:szCs w:val="18"/>
        </w:rPr>
      </w:pPr>
      <w:r>
        <w:rPr>
          <w:rStyle w:val="Appelnotedebasdep"/>
        </w:rPr>
        <w:footnoteRef/>
      </w:r>
      <w:r>
        <w:t xml:space="preserve"> </w:t>
      </w:r>
      <w:r w:rsidRPr="00156DCA">
        <w:rPr>
          <w:rFonts w:ascii="Times New Roman" w:hAnsi="Times New Roman" w:cs="Times New Roman"/>
          <w:sz w:val="18"/>
          <w:szCs w:val="18"/>
        </w:rPr>
        <w:t>Cf. Rapport de la situation  - OCHA  - 26 mai 2021</w:t>
      </w:r>
    </w:p>
  </w:footnote>
  <w:footnote w:id="10">
    <w:p w14:paraId="4252FC1C" w14:textId="77777777" w:rsidR="00E02FE2" w:rsidRPr="00177BD1" w:rsidRDefault="00E02FE2" w:rsidP="0028280C">
      <w:pPr>
        <w:pStyle w:val="Notedebasdepage"/>
        <w:rPr>
          <w:sz w:val="14"/>
          <w:szCs w:val="14"/>
        </w:rPr>
      </w:pPr>
      <w:r w:rsidRPr="00177BD1">
        <w:rPr>
          <w:rStyle w:val="Appelnotedebasdep"/>
          <w:sz w:val="14"/>
          <w:szCs w:val="14"/>
        </w:rPr>
        <w:footnoteRef/>
      </w:r>
      <w:r w:rsidRPr="00177BD1">
        <w:rPr>
          <w:sz w:val="14"/>
          <w:szCs w:val="14"/>
        </w:rPr>
        <w:t xml:space="preserve"> A travers le Cadre de Concertation sur la Migration (CCM), l’Etat du Niger est en train de préparer sa revue nationale du pacte.</w:t>
      </w:r>
    </w:p>
  </w:footnote>
  <w:footnote w:id="11">
    <w:p w14:paraId="049E9804" w14:textId="77777777" w:rsidR="00E02FE2" w:rsidRPr="00CC6408" w:rsidRDefault="00E02FE2" w:rsidP="0028280C">
      <w:pPr>
        <w:spacing w:line="240" w:lineRule="auto"/>
        <w:jc w:val="both"/>
        <w:rPr>
          <w:rFonts w:cstheme="minorHAnsi"/>
          <w:sz w:val="14"/>
          <w:szCs w:val="14"/>
        </w:rPr>
      </w:pPr>
      <w:r w:rsidRPr="00177BD1">
        <w:rPr>
          <w:sz w:val="14"/>
          <w:szCs w:val="14"/>
          <w:vertAlign w:val="superscript"/>
        </w:rPr>
        <w:footnoteRef/>
      </w:r>
      <w:r w:rsidRPr="00177BD1">
        <w:rPr>
          <w:sz w:val="14"/>
          <w:szCs w:val="14"/>
        </w:rPr>
        <w:t xml:space="preserve"> </w:t>
      </w:r>
      <w:hyperlink r:id="rId2" w:history="1">
        <w:r w:rsidRPr="00CC6408">
          <w:rPr>
            <w:rStyle w:val="Lienhypertexte"/>
            <w:rFonts w:cstheme="minorHAnsi"/>
            <w:sz w:val="14"/>
            <w:szCs w:val="14"/>
          </w:rPr>
          <w:t>https://publications.iom.int/system/files/pdf/iom-niger-four-year-report.pdf</w:t>
        </w:r>
      </w:hyperlink>
    </w:p>
  </w:footnote>
  <w:footnote w:id="12">
    <w:p w14:paraId="533A7CC3" w14:textId="77777777" w:rsidR="00E02FE2" w:rsidRPr="000B788B" w:rsidRDefault="00E02FE2" w:rsidP="0028280C">
      <w:pPr>
        <w:pStyle w:val="Notedebasdepage"/>
        <w:rPr>
          <w:sz w:val="14"/>
          <w:szCs w:val="14"/>
        </w:rPr>
      </w:pPr>
      <w:r w:rsidRPr="000B788B">
        <w:rPr>
          <w:rStyle w:val="Appelnotedebasdep"/>
          <w:sz w:val="14"/>
          <w:szCs w:val="14"/>
        </w:rPr>
        <w:footnoteRef/>
      </w:r>
      <w:r w:rsidRPr="000B788B">
        <w:rPr>
          <w:sz w:val="14"/>
          <w:szCs w:val="14"/>
        </w:rPr>
        <w:t xml:space="preserve"> Les femmes et les filles représentent 69% de tous les cas de traite assistés dans les centres gérés par l'OIM à Agadez, Arlit, Dirkou et Niamey, et dans le centre géré par le </w:t>
      </w:r>
      <w:r>
        <w:rPr>
          <w:sz w:val="14"/>
          <w:szCs w:val="14"/>
        </w:rPr>
        <w:t>G</w:t>
      </w:r>
      <w:r w:rsidRPr="000B788B">
        <w:rPr>
          <w:sz w:val="14"/>
          <w:szCs w:val="14"/>
        </w:rPr>
        <w:t>ouvernement à Zinder.</w:t>
      </w:r>
    </w:p>
  </w:footnote>
  <w:footnote w:id="13">
    <w:p w14:paraId="0330E4EC" w14:textId="77777777" w:rsidR="00E02FE2" w:rsidRDefault="00E02FE2" w:rsidP="0073420D">
      <w:pPr>
        <w:pStyle w:val="Notedebasdepage"/>
      </w:pPr>
      <w:r>
        <w:rPr>
          <w:rStyle w:val="Appelnotedebasdep"/>
        </w:rPr>
        <w:footnoteRef/>
      </w:r>
      <w:r>
        <w:t xml:space="preserve"> Annuaire des statisitques Judiciaires, Edition 2020</w:t>
      </w:r>
    </w:p>
  </w:footnote>
  <w:footnote w:id="14">
    <w:p w14:paraId="05D11E3C" w14:textId="77777777" w:rsidR="00E02FE2" w:rsidRPr="007E34F7" w:rsidRDefault="00E02FE2" w:rsidP="0028280C">
      <w:pPr>
        <w:pStyle w:val="Notedebasdepage"/>
        <w:jc w:val="both"/>
        <w:rPr>
          <w:rFonts w:cs="Times New Roman"/>
          <w:sz w:val="16"/>
        </w:rPr>
      </w:pPr>
      <w:r w:rsidRPr="007E34F7">
        <w:rPr>
          <w:rStyle w:val="Appelnotedebasdep"/>
          <w:rFonts w:cs="Times New Roman"/>
          <w:sz w:val="16"/>
        </w:rPr>
        <w:footnoteRef/>
      </w:r>
      <w:r w:rsidRPr="007E34F7">
        <w:rPr>
          <w:rFonts w:cs="Times New Roman"/>
          <w:sz w:val="16"/>
        </w:rPr>
        <w:t xml:space="preserve"> GIZ, Profil de risque climatique : Niger</w:t>
      </w:r>
    </w:p>
  </w:footnote>
  <w:footnote w:id="15">
    <w:p w14:paraId="42818BA9" w14:textId="77777777" w:rsidR="00E02FE2" w:rsidRPr="005923CD" w:rsidRDefault="00E02FE2" w:rsidP="0028280C">
      <w:pPr>
        <w:pStyle w:val="Notedebasdepage"/>
        <w:jc w:val="both"/>
        <w:rPr>
          <w:rFonts w:ascii="Times New Roman" w:hAnsi="Times New Roman" w:cs="Times New Roman"/>
        </w:rPr>
      </w:pPr>
      <w:r>
        <w:t xml:space="preserve">Cf. </w:t>
      </w:r>
      <w:r w:rsidRPr="005923CD">
        <w:rPr>
          <w:rFonts w:ascii="Times New Roman" w:hAnsi="Times New Roman" w:cs="Times New Roman"/>
        </w:rPr>
        <w:t>« </w:t>
      </w:r>
      <w:r w:rsidRPr="005923CD">
        <w:rPr>
          <w:rFonts w:ascii="Times New Roman" w:hAnsi="Times New Roman" w:cs="Times New Roman"/>
          <w:i/>
        </w:rPr>
        <w:t>Note sur la situation économique du Niger : maximiser l’efficacité des dépenses publiques pour mieux reconstruire, 2021</w:t>
      </w:r>
      <w:r w:rsidRPr="005923CD">
        <w:rPr>
          <w:rFonts w:ascii="Times New Roman" w:hAnsi="Times New Roman" w:cs="Times New Roman"/>
        </w:rPr>
        <w:t> »</w:t>
      </w:r>
    </w:p>
  </w:footnote>
  <w:footnote w:id="16">
    <w:p w14:paraId="7ED79E25" w14:textId="55B76E45" w:rsidR="00E02FE2" w:rsidRPr="005923CD" w:rsidRDefault="00E02FE2" w:rsidP="0028280C">
      <w:pPr>
        <w:pStyle w:val="Notedebasdepage"/>
        <w:jc w:val="both"/>
        <w:rPr>
          <w:rFonts w:ascii="Times New Roman" w:hAnsi="Times New Roman" w:cs="Times New Roman"/>
        </w:rPr>
      </w:pPr>
      <w:r>
        <w:rPr>
          <w:rStyle w:val="Appelnotedebasdep"/>
        </w:rPr>
        <w:footnoteRef/>
      </w:r>
      <w:r>
        <w:t xml:space="preserve"> </w:t>
      </w:r>
      <w:r w:rsidRPr="005923CD">
        <w:rPr>
          <w:rFonts w:ascii="Times New Roman" w:hAnsi="Times New Roman" w:cs="Times New Roman"/>
        </w:rPr>
        <w:t>« </w:t>
      </w:r>
      <w:r w:rsidRPr="005923CD">
        <w:rPr>
          <w:rFonts w:ascii="Times New Roman" w:hAnsi="Times New Roman" w:cs="Times New Roman"/>
          <w:i/>
        </w:rPr>
        <w:t>Comptes économiques de la Nation, mai 2021</w:t>
      </w:r>
      <w:r>
        <w:rPr>
          <w:rFonts w:ascii="Times New Roman" w:hAnsi="Times New Roman" w:cs="Times New Roman"/>
        </w:rPr>
        <w:t> ». Ce même taux a été repris</w:t>
      </w:r>
      <w:r w:rsidRPr="005923CD">
        <w:rPr>
          <w:rFonts w:ascii="Times New Roman" w:hAnsi="Times New Roman" w:cs="Times New Roman"/>
        </w:rPr>
        <w:t xml:space="preserve"> par la Banque mondiale dans sa </w:t>
      </w:r>
      <w:bookmarkStart w:id="112" w:name="_Hlk80009127"/>
      <w:r w:rsidRPr="005923CD">
        <w:rPr>
          <w:rFonts w:ascii="Times New Roman" w:hAnsi="Times New Roman" w:cs="Times New Roman"/>
        </w:rPr>
        <w:t>« </w:t>
      </w:r>
      <w:r w:rsidRPr="005923CD">
        <w:rPr>
          <w:rFonts w:ascii="Times New Roman" w:hAnsi="Times New Roman" w:cs="Times New Roman"/>
          <w:i/>
        </w:rPr>
        <w:t>Note sur la situation économique du Niger : maximiser l’efficacité des dépenses publiques pour mieux reconstruire, 2021</w:t>
      </w:r>
      <w:r w:rsidRPr="005923CD">
        <w:rPr>
          <w:rFonts w:ascii="Times New Roman" w:hAnsi="Times New Roman" w:cs="Times New Roman"/>
        </w:rPr>
        <w:t> »</w:t>
      </w:r>
      <w:bookmarkEnd w:id="112"/>
    </w:p>
    <w:p w14:paraId="30DAE3C9" w14:textId="77777777" w:rsidR="00E02FE2" w:rsidRPr="009B1D38" w:rsidRDefault="00E02FE2" w:rsidP="0028280C">
      <w:pPr>
        <w:pStyle w:val="Notedebasdepage"/>
      </w:pPr>
    </w:p>
  </w:footnote>
  <w:footnote w:id="17">
    <w:p w14:paraId="586150B0" w14:textId="77777777" w:rsidR="00E02FE2" w:rsidRPr="007D468C" w:rsidRDefault="00E02FE2" w:rsidP="0028280C">
      <w:pPr>
        <w:pStyle w:val="Notedebasdepage"/>
        <w:jc w:val="both"/>
        <w:rPr>
          <w:rFonts w:ascii="Times New Roman" w:hAnsi="Times New Roman" w:cs="Times New Roman"/>
          <w:lang w:val="en-US"/>
        </w:rPr>
      </w:pPr>
      <w:r w:rsidRPr="005923CD">
        <w:rPr>
          <w:rStyle w:val="Appelnotedebasdep"/>
          <w:rFonts w:ascii="Times New Roman" w:hAnsi="Times New Roman" w:cs="Times New Roman"/>
        </w:rPr>
        <w:footnoteRef/>
      </w:r>
      <w:r w:rsidRPr="007D468C">
        <w:rPr>
          <w:rFonts w:ascii="Times New Roman" w:hAnsi="Times New Roman" w:cs="Times New Roman"/>
          <w:lang w:val="en-US"/>
        </w:rPr>
        <w:t xml:space="preserve"> « </w:t>
      </w:r>
      <w:r w:rsidRPr="007D468C">
        <w:rPr>
          <w:rFonts w:ascii="Times New Roman" w:hAnsi="Times New Roman" w:cs="Times New Roman"/>
          <w:i/>
          <w:lang w:val="en-US"/>
        </w:rPr>
        <w:t>World Economic Outlook, April 2021</w:t>
      </w:r>
      <w:r w:rsidRPr="007D468C">
        <w:rPr>
          <w:rFonts w:ascii="Times New Roman" w:hAnsi="Times New Roman" w:cs="Times New Roman"/>
          <w:lang w:val="en-US"/>
        </w:rPr>
        <w:t> »</w:t>
      </w:r>
    </w:p>
  </w:footnote>
  <w:footnote w:id="18">
    <w:p w14:paraId="28615265" w14:textId="77777777" w:rsidR="00E02FE2" w:rsidRPr="00773211" w:rsidRDefault="00E02FE2" w:rsidP="0028280C">
      <w:pPr>
        <w:pStyle w:val="Notedebasdepage"/>
        <w:rPr>
          <w:lang w:val="en-US"/>
        </w:rPr>
      </w:pPr>
      <w:r>
        <w:rPr>
          <w:rStyle w:val="Appelnotedebasdep"/>
        </w:rPr>
        <w:footnoteRef/>
      </w:r>
      <w:r w:rsidRPr="00773211">
        <w:rPr>
          <w:lang w:val="en-US"/>
        </w:rPr>
        <w:t xml:space="preserve"> World Inequality Database</w:t>
      </w:r>
    </w:p>
  </w:footnote>
  <w:footnote w:id="19">
    <w:p w14:paraId="38A2BA18" w14:textId="77777777" w:rsidR="00E02FE2" w:rsidRPr="002D0E8D" w:rsidRDefault="00E02FE2" w:rsidP="0028280C">
      <w:pPr>
        <w:pStyle w:val="Notedebasdepage"/>
        <w:jc w:val="both"/>
      </w:pPr>
      <w:r>
        <w:rPr>
          <w:rStyle w:val="Appelnotedebasdep"/>
        </w:rPr>
        <w:footnoteRef/>
      </w:r>
      <w:r>
        <w:t xml:space="preserve"> </w:t>
      </w:r>
      <w:r w:rsidRPr="00A639FB">
        <w:t>Selon la Banque Mondiale, un individu pauvre est une personne qui vit avec moins de 1,9 dollar par jour (Atkinson et al, 2016).</w:t>
      </w:r>
      <w:r>
        <w:t xml:space="preserve"> Cette définition se réfère à la pauvreté monétaire. </w:t>
      </w:r>
      <w:r w:rsidRPr="00A639FB">
        <w:rPr>
          <w:rFonts w:cs="Arial"/>
          <w:szCs w:val="24"/>
        </w:rPr>
        <w:t xml:space="preserve">Au Niger, un ménage pauvre </w:t>
      </w:r>
      <w:r w:rsidRPr="00CD7A67">
        <w:rPr>
          <w:rFonts w:cs="Arial"/>
          <w:color w:val="000000" w:themeColor="text1"/>
          <w:szCs w:val="24"/>
        </w:rPr>
        <w:t xml:space="preserve">est aussi apprécié au regard de sa consommation annuelle par tête lorsqu’elle est inférieure au seuil de pauvreté absolue qui est de 181 782 FCFA par personne </w:t>
      </w:r>
      <w:r>
        <w:rPr>
          <w:rFonts w:cs="Arial"/>
          <w:color w:val="000000" w:themeColor="text1"/>
          <w:szCs w:val="24"/>
        </w:rPr>
        <w:t xml:space="preserve">et </w:t>
      </w:r>
      <w:r w:rsidRPr="00CD7A67">
        <w:rPr>
          <w:rFonts w:cs="Arial"/>
          <w:color w:val="000000" w:themeColor="text1"/>
          <w:szCs w:val="24"/>
        </w:rPr>
        <w:t>par an (EHCVM</w:t>
      </w:r>
      <w:r>
        <w:rPr>
          <w:rFonts w:cs="Arial"/>
          <w:color w:val="000000" w:themeColor="text1"/>
          <w:szCs w:val="24"/>
        </w:rPr>
        <w:t>/</w:t>
      </w:r>
      <w:r w:rsidRPr="00CD7A67">
        <w:rPr>
          <w:rFonts w:cs="Arial"/>
          <w:color w:val="000000" w:themeColor="text1"/>
          <w:szCs w:val="24"/>
        </w:rPr>
        <w:t>UEMOA, 2018-2019).</w:t>
      </w:r>
    </w:p>
  </w:footnote>
  <w:footnote w:id="20">
    <w:p w14:paraId="55C9F68C" w14:textId="77777777" w:rsidR="00E02FE2" w:rsidRPr="007473AF" w:rsidRDefault="00E02FE2" w:rsidP="0028280C">
      <w:pPr>
        <w:pStyle w:val="Notedebasdepage"/>
      </w:pPr>
      <w:r>
        <w:rPr>
          <w:rStyle w:val="Appelnotedebasdep"/>
        </w:rPr>
        <w:footnoteRef/>
      </w:r>
      <w:r>
        <w:t xml:space="preserve"> </w:t>
      </w:r>
      <w:r w:rsidRPr="007473AF">
        <w:t>Idem</w:t>
      </w:r>
    </w:p>
  </w:footnote>
  <w:footnote w:id="21">
    <w:p w14:paraId="40042BCE" w14:textId="77777777" w:rsidR="00E02FE2" w:rsidRPr="005B29C3" w:rsidRDefault="00E02FE2" w:rsidP="0028280C">
      <w:pPr>
        <w:pStyle w:val="Notedebasdepage"/>
      </w:pPr>
      <w:r>
        <w:rPr>
          <w:rStyle w:val="Appelnotedebasdep"/>
        </w:rPr>
        <w:footnoteRef/>
      </w:r>
      <w:r w:rsidRPr="00141AB7">
        <w:t xml:space="preserve"> INS (2021). </w:t>
      </w:r>
      <w:r>
        <w:t xml:space="preserve">‘’Rapport final : Emergence d’une classe moyenne et réduction des inégalités.’’ L’estimation de la proportion de la classe moyenne varie selon l’approche utilisée. </w:t>
      </w:r>
    </w:p>
  </w:footnote>
  <w:footnote w:id="22">
    <w:p w14:paraId="7B115A98" w14:textId="77777777" w:rsidR="00E02FE2" w:rsidRPr="00EE6DEC" w:rsidRDefault="00E02FE2" w:rsidP="0028280C">
      <w:pPr>
        <w:pStyle w:val="Notedebasdepage"/>
        <w:jc w:val="both"/>
        <w:rPr>
          <w:i/>
        </w:rPr>
      </w:pPr>
      <w:r>
        <w:rPr>
          <w:rStyle w:val="Appelnotedebasdep"/>
        </w:rPr>
        <w:footnoteRef/>
      </w:r>
      <w:r>
        <w:t xml:space="preserve"> </w:t>
      </w:r>
      <w:r w:rsidRPr="00EE6DEC">
        <w:rPr>
          <w:i/>
        </w:rPr>
        <w:t>Ministère du Développement Communautaire et de l’Aménagement du Territoire (2019). ‘’Stratégie Nationale de Promotion de Pôles Régionaux de Développement au Niger.’’</w:t>
      </w:r>
    </w:p>
  </w:footnote>
  <w:footnote w:id="23">
    <w:p w14:paraId="63CD7479" w14:textId="77777777" w:rsidR="00E02FE2" w:rsidRPr="001E1A60" w:rsidRDefault="00E02FE2" w:rsidP="0028280C">
      <w:pPr>
        <w:pStyle w:val="Notedebasdepage"/>
        <w:jc w:val="both"/>
      </w:pPr>
      <w:r>
        <w:rPr>
          <w:rStyle w:val="Appelnotedebasdep"/>
        </w:rPr>
        <w:footnoteRef/>
      </w:r>
      <w:r>
        <w:t xml:space="preserve"> CAPEG (Mars 2021) : ‘’Bilan : 10 ans de mise en œuvre du programme de renaissance.’’</w:t>
      </w:r>
    </w:p>
  </w:footnote>
  <w:footnote w:id="24">
    <w:p w14:paraId="5BFA3E84" w14:textId="77777777" w:rsidR="00E02FE2" w:rsidRPr="00FE389F" w:rsidRDefault="00E02FE2" w:rsidP="0028280C">
      <w:pPr>
        <w:pStyle w:val="Notedebasdepage"/>
        <w:jc w:val="both"/>
        <w:rPr>
          <w:rFonts w:ascii="Times New Roman" w:hAnsi="Times New Roman" w:cs="Times New Roman"/>
        </w:rPr>
      </w:pPr>
      <w:r>
        <w:rPr>
          <w:rStyle w:val="Appelnotedebasdep"/>
        </w:rPr>
        <w:footnoteRef/>
      </w:r>
      <w:r w:rsidRPr="00311478">
        <w:t xml:space="preserve"> </w:t>
      </w:r>
      <w:r w:rsidRPr="00FE389F">
        <w:rPr>
          <w:rFonts w:ascii="Times New Roman" w:hAnsi="Times New Roman" w:cs="Times New Roman"/>
        </w:rPr>
        <w:t>https://santandertrade.com/en/portal/establish-overseas/niger/investing-3</w:t>
      </w:r>
    </w:p>
  </w:footnote>
  <w:footnote w:id="25">
    <w:p w14:paraId="2A3D31C2" w14:textId="77777777" w:rsidR="00E02FE2" w:rsidRPr="002D0E8D" w:rsidRDefault="00E02FE2" w:rsidP="0028280C">
      <w:pPr>
        <w:pStyle w:val="Notedebasdepage"/>
        <w:jc w:val="both"/>
      </w:pPr>
      <w:r>
        <w:rPr>
          <w:rStyle w:val="Appelnotedebasdep"/>
        </w:rPr>
        <w:footnoteRef/>
      </w:r>
      <w:r>
        <w:t xml:space="preserve"> </w:t>
      </w:r>
      <w:r w:rsidRPr="00A639FB">
        <w:t>Selon la Banque Mondiale, un individu pauvre est une personne qui vit avec moins de 1,9 dollar par jour (Atkinson et al, 2016).</w:t>
      </w:r>
      <w:r>
        <w:t xml:space="preserve"> Cette définition se réfère à la pauvreté monétaire. </w:t>
      </w:r>
      <w:r w:rsidRPr="00A639FB">
        <w:rPr>
          <w:rFonts w:cs="Arial"/>
          <w:szCs w:val="24"/>
        </w:rPr>
        <w:t xml:space="preserve">Au Niger, un ménage pauvre </w:t>
      </w:r>
      <w:r w:rsidRPr="00CD7A67">
        <w:rPr>
          <w:rFonts w:cs="Arial"/>
          <w:color w:val="000000" w:themeColor="text1"/>
          <w:szCs w:val="24"/>
        </w:rPr>
        <w:t xml:space="preserve">est aussi apprécié au regard de sa consommation annuelle par tête lorsqu’elle est inférieure au seuil de pauvreté absolue qui est de 181 782 FCFA par personne </w:t>
      </w:r>
      <w:r>
        <w:rPr>
          <w:rFonts w:cs="Arial"/>
          <w:color w:val="000000" w:themeColor="text1"/>
          <w:szCs w:val="24"/>
        </w:rPr>
        <w:t xml:space="preserve">et </w:t>
      </w:r>
      <w:r w:rsidRPr="00CD7A67">
        <w:rPr>
          <w:rFonts w:cs="Arial"/>
          <w:color w:val="000000" w:themeColor="text1"/>
          <w:szCs w:val="24"/>
        </w:rPr>
        <w:t>par an (EHCVM</w:t>
      </w:r>
      <w:r>
        <w:rPr>
          <w:rFonts w:cs="Arial"/>
          <w:color w:val="000000" w:themeColor="text1"/>
          <w:szCs w:val="24"/>
        </w:rPr>
        <w:t>/</w:t>
      </w:r>
      <w:r w:rsidRPr="00CD7A67">
        <w:rPr>
          <w:rFonts w:cs="Arial"/>
          <w:color w:val="000000" w:themeColor="text1"/>
          <w:szCs w:val="24"/>
        </w:rPr>
        <w:t>UEMOA, 2018-2019).</w:t>
      </w:r>
    </w:p>
  </w:footnote>
  <w:footnote w:id="26">
    <w:p w14:paraId="08AAB739" w14:textId="77777777" w:rsidR="00E02FE2" w:rsidRPr="00060C73" w:rsidRDefault="00E02FE2" w:rsidP="0028280C">
      <w:pPr>
        <w:pStyle w:val="Notedebasdepage"/>
        <w:jc w:val="both"/>
        <w:rPr>
          <w:color w:val="000000" w:themeColor="text1"/>
        </w:rPr>
      </w:pPr>
      <w:r>
        <w:rPr>
          <w:rStyle w:val="Appelnotedebasdep"/>
        </w:rPr>
        <w:footnoteRef/>
      </w:r>
      <w:r w:rsidRPr="00060C73">
        <w:t xml:space="preserve"> </w:t>
      </w:r>
      <w:r w:rsidRPr="00060C73">
        <w:rPr>
          <w:rFonts w:eastAsia="Times New Roman" w:cs="Times New Roman"/>
          <w:color w:val="000000" w:themeColor="text1"/>
        </w:rPr>
        <w:t>La mesure de l’état de santé globale de la population est appréciée par l’espérance de vie à la naissance, indicateur fortement dépendant du niveau de mortalité infantile.</w:t>
      </w:r>
    </w:p>
  </w:footnote>
  <w:footnote w:id="27">
    <w:p w14:paraId="1843ADB9" w14:textId="77777777" w:rsidR="00E02FE2" w:rsidRPr="00791B15" w:rsidRDefault="00E02FE2" w:rsidP="0028280C">
      <w:pPr>
        <w:pStyle w:val="Notedebasdepage"/>
        <w:rPr>
          <w:lang w:val="en-GB"/>
        </w:rPr>
      </w:pPr>
      <w:r>
        <w:rPr>
          <w:rStyle w:val="Appelnotedebasdep"/>
        </w:rPr>
        <w:footnoteRef/>
      </w:r>
      <w:r w:rsidRPr="00791B15">
        <w:rPr>
          <w:lang w:val="en-GB"/>
        </w:rPr>
        <w:t xml:space="preserve"> </w:t>
      </w:r>
      <w:r w:rsidRPr="00456027">
        <w:rPr>
          <w:rFonts w:ascii="Cambria" w:hAnsi="Cambria"/>
          <w:sz w:val="16"/>
          <w:szCs w:val="26"/>
          <w:lang w:val="en-GB"/>
        </w:rPr>
        <w:t>The WHO and UNICEF estimates of national immunization coverage</w:t>
      </w:r>
    </w:p>
  </w:footnote>
  <w:footnote w:id="28">
    <w:p w14:paraId="776C4588" w14:textId="77777777" w:rsidR="00E02FE2" w:rsidRPr="00364977" w:rsidRDefault="00E02FE2" w:rsidP="00364977">
      <w:pPr>
        <w:pStyle w:val="Notedebasdepage"/>
      </w:pPr>
      <w:r w:rsidRPr="00364977">
        <w:rPr>
          <w:rStyle w:val="Appelnotedebasdep"/>
        </w:rPr>
        <w:footnoteRef/>
      </w:r>
      <w:r w:rsidRPr="00364977">
        <w:t xml:space="preserve"> GAM 2020 (Global AIDS Monitoring)</w:t>
      </w:r>
    </w:p>
  </w:footnote>
  <w:footnote w:id="29">
    <w:p w14:paraId="0FB45C82" w14:textId="77777777" w:rsidR="00E02FE2" w:rsidRPr="00364977" w:rsidRDefault="00E02FE2" w:rsidP="00364977">
      <w:pPr>
        <w:spacing w:after="0" w:line="240" w:lineRule="auto"/>
        <w:jc w:val="both"/>
        <w:rPr>
          <w:rFonts w:cstheme="minorHAnsi"/>
          <w:iCs/>
          <w:sz w:val="20"/>
          <w:szCs w:val="20"/>
          <w:lang w:bidi="en-US"/>
        </w:rPr>
      </w:pPr>
      <w:r w:rsidRPr="00364977">
        <w:rPr>
          <w:rStyle w:val="Appelnotedebasdep"/>
          <w:sz w:val="20"/>
          <w:szCs w:val="20"/>
        </w:rPr>
        <w:footnoteRef/>
      </w:r>
      <w:r w:rsidRPr="00364977">
        <w:rPr>
          <w:sz w:val="20"/>
          <w:szCs w:val="20"/>
        </w:rPr>
        <w:t xml:space="preserve"> </w:t>
      </w:r>
      <w:r w:rsidRPr="00364977">
        <w:rPr>
          <w:rFonts w:cstheme="minorHAnsi"/>
          <w:sz w:val="20"/>
          <w:szCs w:val="20"/>
          <w:lang w:eastAsia="fr-FR"/>
        </w:rPr>
        <w:t>15 085 688 distribuées sur 27 228 252 prévues</w:t>
      </w:r>
    </w:p>
  </w:footnote>
  <w:footnote w:id="30">
    <w:p w14:paraId="5E5FAF9C" w14:textId="382A27A1" w:rsidR="00E02FE2" w:rsidRPr="00944577" w:rsidRDefault="00E02FE2" w:rsidP="00364977">
      <w:pPr>
        <w:pStyle w:val="Notedebasdepage"/>
      </w:pPr>
      <w:r w:rsidRPr="00364977">
        <w:rPr>
          <w:rStyle w:val="Appelnotedebasdep"/>
        </w:rPr>
        <w:footnoteRef/>
      </w:r>
      <w:r w:rsidRPr="00364977">
        <w:t xml:space="preserve"> </w:t>
      </w:r>
      <w:r w:rsidRPr="00364977">
        <w:rPr>
          <w:rFonts w:cstheme="minorHAnsi"/>
          <w:lang w:eastAsia="fr-FR"/>
        </w:rPr>
        <w:t>14 723 237 enfants de 3 à 59 mois ont reçu sur 14 928 595 prévues pour la CPS soit un taux de couverture de 98%.</w:t>
      </w:r>
    </w:p>
  </w:footnote>
  <w:footnote w:id="31">
    <w:p w14:paraId="10F3B61A" w14:textId="4142104A" w:rsidR="00E02FE2" w:rsidRPr="00733610" w:rsidRDefault="00E02FE2" w:rsidP="00733610">
      <w:pPr>
        <w:widowControl w:val="0"/>
        <w:pBdr>
          <w:top w:val="nil"/>
          <w:left w:val="nil"/>
          <w:bottom w:val="nil"/>
          <w:right w:val="nil"/>
          <w:between w:val="nil"/>
        </w:pBdr>
        <w:spacing w:before="120" w:after="120" w:line="240" w:lineRule="auto"/>
        <w:jc w:val="both"/>
        <w:rPr>
          <w:rFonts w:ascii="Calibri" w:eastAsia="Calibri" w:hAnsi="Calibri" w:cs="Calibri"/>
          <w:sz w:val="16"/>
          <w:szCs w:val="16"/>
        </w:rPr>
      </w:pPr>
      <w:r>
        <w:rPr>
          <w:rStyle w:val="Appelnotedebasdep"/>
        </w:rPr>
        <w:footnoteRef/>
      </w:r>
      <w:r w:rsidRPr="00733610">
        <w:rPr>
          <w:lang w:val="en-US"/>
        </w:rPr>
        <w:t xml:space="preserve"> </w:t>
      </w:r>
      <w:r w:rsidRPr="00A2367E">
        <w:rPr>
          <w:rFonts w:ascii="Calibri" w:eastAsia="Calibri" w:hAnsi="Calibri" w:cs="Calibri"/>
          <w:sz w:val="16"/>
          <w:szCs w:val="16"/>
          <w:lang w:val="en-US"/>
        </w:rPr>
        <w:t xml:space="preserve">Schoenbuchner et al. The relationship between wasting and stunting: a retrospective cohort analysis of longitudinal data in Gambian children from 1976 to 2016. </w:t>
      </w:r>
      <w:r w:rsidRPr="0F9B0BB3">
        <w:rPr>
          <w:rFonts w:ascii="Calibri" w:eastAsia="Calibri" w:hAnsi="Calibri" w:cs="Calibri"/>
          <w:sz w:val="16"/>
          <w:szCs w:val="16"/>
        </w:rPr>
        <w:t>Am J Clin Nutr 2019;109:1–10</w:t>
      </w:r>
    </w:p>
  </w:footnote>
  <w:footnote w:id="32">
    <w:p w14:paraId="57B38BEA" w14:textId="77777777" w:rsidR="00E02FE2" w:rsidRPr="00252A30" w:rsidRDefault="00E02FE2" w:rsidP="0028280C">
      <w:pPr>
        <w:pStyle w:val="Notedebasdepage"/>
        <w:rPr>
          <w:rFonts w:ascii="Times New Roman" w:hAnsi="Times New Roman" w:cs="Times New Roman"/>
          <w:color w:val="000000"/>
          <w:sz w:val="18"/>
          <w:szCs w:val="18"/>
        </w:rPr>
      </w:pPr>
      <w:r w:rsidRPr="00252A30">
        <w:rPr>
          <w:rStyle w:val="Appelnotedebasdep"/>
          <w:rFonts w:ascii="Times New Roman" w:hAnsi="Times New Roman" w:cs="Times New Roman"/>
          <w:sz w:val="18"/>
          <w:szCs w:val="18"/>
        </w:rPr>
        <w:footnoteRef/>
      </w:r>
      <w:r w:rsidRPr="00252A30">
        <w:rPr>
          <w:rFonts w:ascii="Times New Roman" w:hAnsi="Times New Roman" w:cs="Times New Roman"/>
          <w:sz w:val="18"/>
          <w:szCs w:val="18"/>
        </w:rPr>
        <w:t xml:space="preserve"> </w:t>
      </w:r>
      <w:r w:rsidRPr="00252A30">
        <w:rPr>
          <w:rFonts w:ascii="Times New Roman" w:hAnsi="Times New Roman" w:cs="Times New Roman"/>
          <w:color w:val="000000"/>
          <w:sz w:val="18"/>
          <w:szCs w:val="18"/>
        </w:rPr>
        <w:t>Dispositif National de Prévention et de Gestion des Crises Alimentaires</w:t>
      </w:r>
    </w:p>
  </w:footnote>
  <w:footnote w:id="33">
    <w:p w14:paraId="1E0B740A" w14:textId="77777777" w:rsidR="00E02FE2" w:rsidRPr="00252A30" w:rsidRDefault="00E02FE2" w:rsidP="0028280C">
      <w:pPr>
        <w:pStyle w:val="Notedebasdepage"/>
        <w:rPr>
          <w:rFonts w:ascii="Times New Roman" w:hAnsi="Times New Roman" w:cs="Times New Roman"/>
          <w:color w:val="000000"/>
          <w:sz w:val="18"/>
          <w:szCs w:val="18"/>
        </w:rPr>
      </w:pPr>
      <w:r w:rsidRPr="00252A30">
        <w:rPr>
          <w:rStyle w:val="Appelnotedebasdep"/>
          <w:rFonts w:ascii="Times New Roman" w:hAnsi="Times New Roman" w:cs="Times New Roman"/>
          <w:sz w:val="18"/>
          <w:szCs w:val="18"/>
        </w:rPr>
        <w:footnoteRef/>
      </w:r>
      <w:r w:rsidRPr="00252A30">
        <w:rPr>
          <w:rFonts w:ascii="Times New Roman" w:hAnsi="Times New Roman" w:cs="Times New Roman"/>
          <w:sz w:val="18"/>
          <w:szCs w:val="18"/>
        </w:rPr>
        <w:t xml:space="preserve"> </w:t>
      </w:r>
      <w:r w:rsidRPr="00252A30">
        <w:rPr>
          <w:rFonts w:ascii="Times New Roman" w:hAnsi="Times New Roman" w:cs="Times New Roman"/>
          <w:color w:val="000000"/>
          <w:sz w:val="18"/>
          <w:szCs w:val="18"/>
        </w:rPr>
        <w:t>La classification intégrée de la phase de sécurité alimentaire -</w:t>
      </w:r>
      <w:r w:rsidRPr="00252A30">
        <w:rPr>
          <w:rFonts w:ascii="Times New Roman" w:hAnsi="Times New Roman" w:cs="Times New Roman"/>
          <w:sz w:val="18"/>
          <w:szCs w:val="18"/>
        </w:rPr>
        <w:t xml:space="preserve"> </w:t>
      </w:r>
      <w:r w:rsidRPr="00252A30">
        <w:rPr>
          <w:rFonts w:ascii="Times New Roman" w:hAnsi="Times New Roman" w:cs="Times New Roman"/>
          <w:color w:val="000000"/>
          <w:sz w:val="18"/>
          <w:szCs w:val="18"/>
        </w:rPr>
        <w:t>Integrated Food Security Phase Classification - (IPC) est une initiative multipartite innovante visant à améliorer l'analyse et la prise de décision en matière de sécurité alimentaire et de nutrition.</w:t>
      </w:r>
    </w:p>
  </w:footnote>
  <w:footnote w:id="34">
    <w:p w14:paraId="386F69EB" w14:textId="77777777" w:rsidR="00E02FE2" w:rsidRPr="00944577" w:rsidRDefault="00E02FE2" w:rsidP="0028280C">
      <w:pPr>
        <w:pStyle w:val="Notedebasdepage"/>
      </w:pPr>
      <w:r>
        <w:rPr>
          <w:rStyle w:val="Appelnotedebasdep"/>
        </w:rPr>
        <w:footnoteRef/>
      </w:r>
      <w:r>
        <w:t xml:space="preserve"> </w:t>
      </w:r>
      <w:r w:rsidRPr="00252A30">
        <w:rPr>
          <w:rStyle w:val="Appelnotedebasdep"/>
          <w:rFonts w:ascii="Times New Roman" w:hAnsi="Times New Roman" w:cs="Times New Roman"/>
          <w:sz w:val="18"/>
          <w:szCs w:val="18"/>
        </w:rPr>
        <w:footnoteRef/>
      </w:r>
      <w:r w:rsidRPr="00252A30">
        <w:rPr>
          <w:rFonts w:ascii="Times New Roman" w:hAnsi="Times New Roman" w:cs="Times New Roman"/>
          <w:sz w:val="18"/>
          <w:szCs w:val="18"/>
        </w:rPr>
        <w:t xml:space="preserve"> MHA 2021, Rapport sur les indicateurs de l’eau et de l’assainissement pour l’année 2020 cité dans le rapport d’analyse diagnostique globale - version provisoire de septembre 2021 - Ministère du plan</w:t>
      </w:r>
    </w:p>
  </w:footnote>
  <w:footnote w:id="35">
    <w:p w14:paraId="253F1E63" w14:textId="77777777" w:rsidR="00E02FE2" w:rsidRPr="00252A30" w:rsidRDefault="00E02FE2" w:rsidP="0028280C">
      <w:pPr>
        <w:pStyle w:val="Default"/>
        <w:jc w:val="both"/>
        <w:rPr>
          <w:rFonts w:ascii="Times New Roman" w:hAnsi="Times New Roman" w:cs="Times New Roman"/>
          <w:sz w:val="18"/>
          <w:szCs w:val="18"/>
        </w:rPr>
      </w:pPr>
      <w:r>
        <w:rPr>
          <w:rStyle w:val="Appelnotedebasdep"/>
        </w:rPr>
        <w:footnoteRef/>
      </w:r>
      <w:r w:rsidRPr="00D65296">
        <w:t xml:space="preserve"> </w:t>
      </w:r>
      <w:r w:rsidRPr="00252A30">
        <w:rPr>
          <w:rFonts w:ascii="Times New Roman" w:hAnsi="Times New Roman" w:cs="Times New Roman"/>
          <w:sz w:val="18"/>
          <w:szCs w:val="18"/>
        </w:rPr>
        <w:t xml:space="preserve">Rapport de l’enquête de base sur les indicateurs prioritaires de la phase 1 PROSEHA de l’INS/ 2020 - cité dans le rapport d’analyse diagnostique globale - version provisoire de septembre 2021 - Ministère du plan </w:t>
      </w:r>
    </w:p>
    <w:p w14:paraId="017D706B" w14:textId="77777777" w:rsidR="00E02FE2" w:rsidRPr="00D65296" w:rsidRDefault="00E02FE2" w:rsidP="0028280C">
      <w:pPr>
        <w:pStyle w:val="Notedebasdepage"/>
      </w:pPr>
    </w:p>
  </w:footnote>
  <w:footnote w:id="36">
    <w:p w14:paraId="444E720B" w14:textId="77777777" w:rsidR="00E02FE2" w:rsidRPr="00801EFF" w:rsidRDefault="00E02FE2" w:rsidP="0028280C">
      <w:pPr>
        <w:spacing w:line="240" w:lineRule="auto"/>
        <w:jc w:val="both"/>
        <w:rPr>
          <w:rFonts w:ascii="Times New Roman" w:hAnsi="Times New Roman" w:cs="Times New Roman"/>
          <w:sz w:val="20"/>
          <w:lang w:val="fr-CA"/>
        </w:rPr>
      </w:pPr>
      <w:r w:rsidRPr="00BF4B16">
        <w:rPr>
          <w:rStyle w:val="Appelnotedebasdep"/>
          <w:rFonts w:ascii="Times New Roman" w:hAnsi="Times New Roman" w:cs="Times New Roman"/>
          <w:sz w:val="16"/>
        </w:rPr>
        <w:footnoteRef/>
      </w:r>
      <w:r w:rsidRPr="00801EFF">
        <w:rPr>
          <w:rFonts w:ascii="Times New Roman" w:hAnsi="Times New Roman" w:cs="Times New Roman"/>
          <w:sz w:val="20"/>
          <w:lang w:val="fr-CA"/>
        </w:rPr>
        <w:t xml:space="preserve"> WHO 2019 : World Heath Status </w:t>
      </w:r>
      <w:r w:rsidRPr="00801EFF">
        <w:rPr>
          <w:rFonts w:ascii="Times New Roman" w:hAnsi="Times New Roman" w:cs="Times New Roman"/>
          <w:sz w:val="16"/>
          <w:szCs w:val="16"/>
          <w:lang w:val="fr-CA"/>
        </w:rPr>
        <w:t>report</w:t>
      </w:r>
      <w:r w:rsidRPr="00801EFF">
        <w:rPr>
          <w:rFonts w:ascii="Times New Roman" w:hAnsi="Times New Roman" w:cs="Times New Roman"/>
          <w:sz w:val="20"/>
          <w:lang w:val="fr-CA"/>
        </w:rPr>
        <w:t xml:space="preserve"> </w:t>
      </w:r>
    </w:p>
  </w:footnote>
  <w:footnote w:id="37">
    <w:p w14:paraId="1079DA2E" w14:textId="77777777" w:rsidR="00E02FE2" w:rsidRPr="00BF4B16" w:rsidRDefault="00E02FE2" w:rsidP="0028280C">
      <w:pPr>
        <w:spacing w:line="240" w:lineRule="auto"/>
        <w:jc w:val="both"/>
        <w:rPr>
          <w:rFonts w:ascii="Times New Roman" w:hAnsi="Times New Roman" w:cs="Times New Roman"/>
          <w:sz w:val="16"/>
        </w:rPr>
      </w:pPr>
      <w:r w:rsidRPr="00BF4B16">
        <w:rPr>
          <w:rStyle w:val="Appelnotedebasdep"/>
          <w:rFonts w:ascii="Times New Roman" w:hAnsi="Times New Roman" w:cs="Times New Roman"/>
          <w:sz w:val="16"/>
        </w:rPr>
        <w:footnoteRef/>
      </w:r>
      <w:r w:rsidRPr="00BF4B16">
        <w:rPr>
          <w:rFonts w:ascii="Times New Roman" w:hAnsi="Times New Roman" w:cs="Times New Roman"/>
          <w:sz w:val="16"/>
        </w:rPr>
        <w:t xml:space="preserve"> </w:t>
      </w:r>
      <w:r w:rsidRPr="00BF4B16">
        <w:rPr>
          <w:rFonts w:ascii="Times New Roman" w:hAnsi="Times New Roman" w:cs="Times New Roman"/>
          <w:sz w:val="20"/>
        </w:rPr>
        <w:t>OCHA Niger, 2020 : Aperçu de besoin humanitaires AEPHA pour l’année 2021</w:t>
      </w:r>
    </w:p>
  </w:footnote>
  <w:footnote w:id="38">
    <w:p w14:paraId="2DB3CEE9" w14:textId="77777777" w:rsidR="00E02FE2" w:rsidRPr="00401775" w:rsidRDefault="00E02FE2" w:rsidP="0028280C">
      <w:pPr>
        <w:pStyle w:val="Notedebasdepage"/>
        <w:rPr>
          <w:rFonts w:ascii="Times New Roman" w:hAnsi="Times New Roman" w:cs="Times New Roman"/>
        </w:rPr>
      </w:pPr>
      <w:r w:rsidRPr="00401775">
        <w:rPr>
          <w:rStyle w:val="Appelnotedebasdep"/>
          <w:rFonts w:ascii="Times New Roman" w:hAnsi="Times New Roman" w:cs="Times New Roman"/>
        </w:rPr>
        <w:footnoteRef/>
      </w:r>
      <w:r w:rsidRPr="00401775">
        <w:rPr>
          <w:rFonts w:ascii="Times New Roman" w:hAnsi="Times New Roman" w:cs="Times New Roman"/>
        </w:rPr>
        <w:t xml:space="preserve"> Voir les recommandations du Comité relatif des droits des personnes handicapées CRPD/C/NER/CO/1, 2019, para 6(a)</w:t>
      </w:r>
      <w:r>
        <w:rPr>
          <w:rFonts w:ascii="Times New Roman" w:hAnsi="Times New Roman" w:cs="Times New Roman"/>
        </w:rPr>
        <w:t xml:space="preserve"> et 39</w:t>
      </w:r>
    </w:p>
  </w:footnote>
  <w:footnote w:id="39">
    <w:p w14:paraId="66157CF6" w14:textId="77777777" w:rsidR="00E02FE2" w:rsidRPr="00EF36D2" w:rsidRDefault="00E02FE2" w:rsidP="0028280C">
      <w:pPr>
        <w:widowControl w:val="0"/>
        <w:pBdr>
          <w:top w:val="nil"/>
          <w:left w:val="nil"/>
          <w:bottom w:val="nil"/>
          <w:right w:val="nil"/>
          <w:between w:val="nil"/>
        </w:pBdr>
        <w:spacing w:after="120" w:line="276" w:lineRule="auto"/>
        <w:jc w:val="both"/>
        <w:rPr>
          <w:rFonts w:cstheme="minorHAnsi"/>
          <w:sz w:val="18"/>
        </w:rPr>
      </w:pPr>
      <w:r w:rsidRPr="00EF36D2">
        <w:rPr>
          <w:rStyle w:val="Appelnotedebasdep"/>
          <w:rFonts w:cstheme="minorHAnsi"/>
          <w:sz w:val="18"/>
        </w:rPr>
        <w:footnoteRef/>
      </w:r>
      <w:r w:rsidRPr="00EF36D2">
        <w:rPr>
          <w:rFonts w:cstheme="minorHAnsi"/>
          <w:sz w:val="18"/>
        </w:rPr>
        <w:t xml:space="preserve"> Enquête Régionale Intégrée sur l’Emploi et le Secteur Informel (ERI-ESI, 2017)</w:t>
      </w:r>
    </w:p>
    <w:p w14:paraId="6167CBAC" w14:textId="77777777" w:rsidR="00E02FE2" w:rsidRDefault="00E02FE2" w:rsidP="0028280C">
      <w:pPr>
        <w:pStyle w:val="Notedebasdepage"/>
      </w:pPr>
    </w:p>
  </w:footnote>
  <w:footnote w:id="40">
    <w:p w14:paraId="65FD6B4F" w14:textId="77777777" w:rsidR="00E02FE2" w:rsidRPr="00DF5E52" w:rsidRDefault="00E02FE2" w:rsidP="0028280C">
      <w:pPr>
        <w:pStyle w:val="Notedebasdepage"/>
        <w:rPr>
          <w:rFonts w:ascii="Times New Roman" w:hAnsi="Times New Roman" w:cs="Times New Roman"/>
        </w:rPr>
      </w:pPr>
      <w:r w:rsidRPr="00DF5E52">
        <w:rPr>
          <w:rStyle w:val="Appelnotedebasdep"/>
          <w:rFonts w:ascii="Times New Roman" w:hAnsi="Times New Roman" w:cs="Times New Roman"/>
        </w:rPr>
        <w:footnoteRef/>
      </w:r>
      <w:r w:rsidRPr="00DF5E52">
        <w:rPr>
          <w:rFonts w:ascii="Times New Roman" w:hAnsi="Times New Roman" w:cs="Times New Roman"/>
        </w:rPr>
        <w:t xml:space="preserve"> Voire les recommandations du Comité relatif des droits des personnes handicapées CRPD/C/NER/CO/1, 2019, para 45</w:t>
      </w:r>
    </w:p>
  </w:footnote>
  <w:footnote w:id="41">
    <w:p w14:paraId="460AB022" w14:textId="77777777" w:rsidR="00E02FE2" w:rsidRPr="008A6225" w:rsidRDefault="00E02FE2" w:rsidP="0028280C">
      <w:pPr>
        <w:pStyle w:val="Notedebasdepage"/>
        <w:jc w:val="both"/>
        <w:rPr>
          <w:rFonts w:ascii="Times New Roman" w:hAnsi="Times New Roman" w:cs="Times New Roman"/>
          <w:sz w:val="18"/>
        </w:rPr>
      </w:pPr>
      <w:r w:rsidRPr="00841F82">
        <w:rPr>
          <w:rStyle w:val="Appelnotedebasdep"/>
          <w:sz w:val="18"/>
        </w:rPr>
        <w:footnoteRef/>
      </w:r>
      <w:r w:rsidRPr="00841F82">
        <w:rPr>
          <w:sz w:val="18"/>
        </w:rPr>
        <w:t xml:space="preserve"> </w:t>
      </w:r>
      <w:r w:rsidRPr="008A6225">
        <w:rPr>
          <w:rFonts w:ascii="Times New Roman" w:hAnsi="Times New Roman" w:cs="Times New Roman"/>
          <w:sz w:val="18"/>
        </w:rPr>
        <w:t>Avec l’introduction en 2010 de la notion d’inégalité, l’IDHI devient l’indice de développement humain « potentiel » à atteindre en l’absence de toute inégalité.</w:t>
      </w:r>
    </w:p>
  </w:footnote>
  <w:footnote w:id="42">
    <w:p w14:paraId="2313DA8D" w14:textId="77777777" w:rsidR="00E02FE2" w:rsidRPr="008A6225" w:rsidRDefault="00E02FE2" w:rsidP="0028280C">
      <w:pPr>
        <w:pStyle w:val="Notedebasdepage"/>
        <w:jc w:val="both"/>
        <w:rPr>
          <w:rFonts w:ascii="Times New Roman" w:hAnsi="Times New Roman" w:cs="Times New Roman"/>
          <w:sz w:val="18"/>
        </w:rPr>
      </w:pPr>
      <w:r w:rsidRPr="008A6225">
        <w:rPr>
          <w:rStyle w:val="Appelnotedebasdep"/>
          <w:rFonts w:ascii="Times New Roman" w:hAnsi="Times New Roman" w:cs="Times New Roman"/>
        </w:rPr>
        <w:footnoteRef/>
      </w:r>
      <w:r w:rsidRPr="008A6225">
        <w:rPr>
          <w:rFonts w:ascii="Times New Roman" w:hAnsi="Times New Roman" w:cs="Times New Roman"/>
        </w:rPr>
        <w:t xml:space="preserve"> </w:t>
      </w:r>
      <w:r w:rsidRPr="008A6225">
        <w:rPr>
          <w:rFonts w:ascii="Times New Roman" w:hAnsi="Times New Roman" w:cs="Times New Roman"/>
          <w:sz w:val="18"/>
        </w:rPr>
        <w:t>Il mesure les inégalités de genre dans trois dimensions fondamentales du développement humain : la santé (mesurée par l’espérance de vie des femmes et des hommes à la naissance), l’éducation</w:t>
      </w:r>
      <w:r w:rsidRPr="008A6225">
        <w:rPr>
          <w:rFonts w:ascii="Times New Roman" w:hAnsi="Times New Roman" w:cs="Times New Roman"/>
        </w:rPr>
        <w:t xml:space="preserve"> </w:t>
      </w:r>
      <w:r w:rsidRPr="008A6225">
        <w:rPr>
          <w:rFonts w:ascii="Times New Roman" w:hAnsi="Times New Roman" w:cs="Times New Roman"/>
          <w:sz w:val="18"/>
        </w:rPr>
        <w:t>(mesurée par la durée attendue de</w:t>
      </w:r>
      <w:r w:rsidRPr="008A6225">
        <w:rPr>
          <w:rFonts w:ascii="Times New Roman" w:hAnsi="Times New Roman" w:cs="Times New Roman"/>
        </w:rPr>
        <w:t xml:space="preserve"> </w:t>
      </w:r>
      <w:r w:rsidRPr="008A6225">
        <w:rPr>
          <w:rFonts w:ascii="Times New Roman" w:hAnsi="Times New Roman" w:cs="Times New Roman"/>
          <w:sz w:val="18"/>
        </w:rPr>
        <w:t>scolarisation des garçons et des filles et le nombre moyen d’années d’études pour les adultes âgés de 25 ans et plus) et le contrôle des ressources économiques (mesuré par le RNB estimé des hommes et des femmes, par habitant) – PNUD 2020.</w:t>
      </w:r>
    </w:p>
  </w:footnote>
  <w:footnote w:id="43">
    <w:p w14:paraId="7D82E209" w14:textId="77777777" w:rsidR="00E02FE2" w:rsidRPr="00CC6912" w:rsidRDefault="00E02FE2" w:rsidP="00C35C18">
      <w:pPr>
        <w:pStyle w:val="Notedebasdepage"/>
      </w:pPr>
      <w:r>
        <w:rPr>
          <w:rStyle w:val="Appelnotedebasdep"/>
        </w:rPr>
        <w:footnoteRef/>
      </w:r>
      <w:r>
        <w:t xml:space="preserve"> Troisième rapport national volontaire sur les objectifs de développement durable Niger 2021, mai 2021</w:t>
      </w:r>
    </w:p>
  </w:footnote>
  <w:footnote w:id="44">
    <w:p w14:paraId="21267353" w14:textId="77777777" w:rsidR="00E02FE2" w:rsidRPr="00326AA7" w:rsidRDefault="00E02FE2" w:rsidP="00C35C18">
      <w:pPr>
        <w:pStyle w:val="Default"/>
        <w:rPr>
          <w:rFonts w:ascii="Calibri" w:eastAsia="Arial Narrow" w:hAnsi="Calibri" w:cs="Calibri"/>
        </w:rPr>
      </w:pPr>
      <w:r>
        <w:rPr>
          <w:rStyle w:val="Appelnotedebasdep"/>
        </w:rPr>
        <w:footnoteRef/>
      </w:r>
      <w:r>
        <w:t xml:space="preserve"> </w:t>
      </w:r>
      <w:r w:rsidRPr="00326AA7">
        <w:rPr>
          <w:rFonts w:ascii="Arial Narrow" w:hAnsi="Arial Narrow" w:cs="Arial Narrow"/>
          <w:color w:val="auto"/>
          <w:sz w:val="20"/>
          <w:szCs w:val="20"/>
        </w:rPr>
        <w:t xml:space="preserve">Niger – Analyse de Protection Janvier à </w:t>
      </w:r>
      <w:r>
        <w:rPr>
          <w:rFonts w:ascii="Arial Narrow" w:hAnsi="Arial Narrow" w:cs="Arial Narrow"/>
          <w:color w:val="auto"/>
          <w:sz w:val="20"/>
          <w:szCs w:val="20"/>
        </w:rPr>
        <w:t>Septembre</w:t>
      </w:r>
      <w:r w:rsidRPr="00326AA7">
        <w:rPr>
          <w:rFonts w:ascii="Arial Narrow" w:hAnsi="Arial Narrow" w:cs="Arial Narrow"/>
          <w:color w:val="auto"/>
          <w:sz w:val="20"/>
          <w:szCs w:val="20"/>
        </w:rPr>
        <w:t xml:space="preserve"> 2021</w:t>
      </w:r>
    </w:p>
  </w:footnote>
  <w:footnote w:id="45">
    <w:p w14:paraId="5B22FAF6" w14:textId="77777777" w:rsidR="00E02FE2" w:rsidRDefault="00E02FE2" w:rsidP="00C35C18">
      <w:pPr>
        <w:pStyle w:val="Notedebasdepage"/>
      </w:pPr>
      <w:r>
        <w:rPr>
          <w:rStyle w:val="Appelnotedebasdep"/>
        </w:rPr>
        <w:footnoteRef/>
      </w:r>
      <w:r>
        <w:t xml:space="preserve"> DREC</w:t>
      </w:r>
    </w:p>
  </w:footnote>
  <w:footnote w:id="46">
    <w:p w14:paraId="680297F7" w14:textId="77777777" w:rsidR="00E02FE2" w:rsidRDefault="00E02FE2" w:rsidP="00C35C18">
      <w:pPr>
        <w:pStyle w:val="Notedebasdepage"/>
      </w:pPr>
      <w:r>
        <w:rPr>
          <w:rStyle w:val="Appelnotedebasdep"/>
        </w:rPr>
        <w:footnoteRef/>
      </w:r>
      <w:r>
        <w:t xml:space="preserve"> Ibid</w:t>
      </w:r>
    </w:p>
  </w:footnote>
  <w:footnote w:id="47">
    <w:p w14:paraId="468CCE73" w14:textId="77777777" w:rsidR="00E02FE2" w:rsidRDefault="00E02FE2" w:rsidP="00C35C18">
      <w:pPr>
        <w:pStyle w:val="Notedebasdepage"/>
      </w:pPr>
      <w:r>
        <w:rPr>
          <w:rStyle w:val="Appelnotedebasdep"/>
        </w:rPr>
        <w:footnoteRef/>
      </w:r>
      <w:r>
        <w:t xml:space="preserve"> Analyse situationnelle Tillabery 3</w:t>
      </w:r>
      <w:r w:rsidRPr="008F5CA1">
        <w:rPr>
          <w:vertAlign w:val="superscript"/>
        </w:rPr>
        <w:t>e</w:t>
      </w:r>
      <w:r>
        <w:t xml:space="preserve"> trimestre 2021, OCHA-Niger</w:t>
      </w:r>
    </w:p>
  </w:footnote>
  <w:footnote w:id="48">
    <w:p w14:paraId="22D8E4F3" w14:textId="77777777" w:rsidR="00E02FE2" w:rsidRPr="009D65B4" w:rsidRDefault="00E02FE2" w:rsidP="00C35C18">
      <w:pPr>
        <w:pStyle w:val="Notedebasdepage"/>
      </w:pPr>
      <w:r>
        <w:rPr>
          <w:rStyle w:val="Appelnotedebasdep"/>
        </w:rPr>
        <w:footnoteRef/>
      </w:r>
      <w:r>
        <w:t xml:space="preserve"> Analyse situationnelle Tillabery 3</w:t>
      </w:r>
      <w:r w:rsidRPr="008F5CA1">
        <w:rPr>
          <w:vertAlign w:val="superscript"/>
        </w:rPr>
        <w:t>e</w:t>
      </w:r>
      <w:r>
        <w:t xml:space="preserve"> trimestre 2021, OCHA-Niger</w:t>
      </w:r>
    </w:p>
  </w:footnote>
  <w:footnote w:id="49">
    <w:p w14:paraId="75D40994" w14:textId="77777777" w:rsidR="00E02FE2" w:rsidRPr="000363CC" w:rsidRDefault="00E02FE2" w:rsidP="00C35C18">
      <w:pPr>
        <w:pStyle w:val="Notedebasdepage"/>
        <w:rPr>
          <w:sz w:val="18"/>
          <w:szCs w:val="18"/>
        </w:rPr>
      </w:pPr>
      <w:r w:rsidRPr="002F2E60">
        <w:rPr>
          <w:rStyle w:val="Appelnotedebasdep"/>
        </w:rPr>
        <w:footnoteRef/>
      </w:r>
      <w:r w:rsidRPr="002F2E60">
        <w:rPr>
          <w:rStyle w:val="Appelnotedebasdep"/>
        </w:rPr>
        <w:t xml:space="preserve"> </w:t>
      </w:r>
      <w:r w:rsidRPr="003B76A5">
        <w:t>HCR, rapport de monitoring de protection</w:t>
      </w:r>
    </w:p>
  </w:footnote>
  <w:footnote w:id="50">
    <w:p w14:paraId="628061A8" w14:textId="77777777" w:rsidR="00E02FE2" w:rsidRPr="003B76A5" w:rsidRDefault="00E02FE2" w:rsidP="00C35C18">
      <w:pPr>
        <w:pStyle w:val="Notedebasdepage"/>
      </w:pPr>
      <w:r w:rsidRPr="002F2E60">
        <w:rPr>
          <w:rStyle w:val="Appelnotedebasdep"/>
        </w:rPr>
        <w:footnoteRef/>
      </w:r>
      <w:r w:rsidRPr="000363CC">
        <w:rPr>
          <w:sz w:val="18"/>
          <w:szCs w:val="18"/>
        </w:rPr>
        <w:t xml:space="preserve"> </w:t>
      </w:r>
      <w:r w:rsidRPr="003B76A5">
        <w:t>Aperçu des performances sectorielles au 30 septembre 2021, cluster protection, sept. 2021</w:t>
      </w:r>
    </w:p>
  </w:footnote>
  <w:footnote w:id="51">
    <w:p w14:paraId="722F63A3" w14:textId="77777777" w:rsidR="00E02FE2" w:rsidRPr="009D2547" w:rsidRDefault="00E02FE2" w:rsidP="00C35C18">
      <w:pPr>
        <w:rPr>
          <w:sz w:val="20"/>
          <w:szCs w:val="20"/>
        </w:rPr>
      </w:pPr>
      <w:r>
        <w:rPr>
          <w:vertAlign w:val="superscript"/>
        </w:rPr>
        <w:footnoteRef/>
      </w:r>
      <w:r w:rsidRPr="009D2547">
        <w:rPr>
          <w:sz w:val="20"/>
          <w:szCs w:val="20"/>
        </w:rPr>
        <w:t xml:space="preserve"> </w:t>
      </w:r>
      <w:r w:rsidRPr="00835A5D">
        <w:rPr>
          <w:sz w:val="20"/>
          <w:szCs w:val="20"/>
        </w:rPr>
        <w:t>GBVIMS, septembre 2021</w:t>
      </w:r>
    </w:p>
  </w:footnote>
  <w:footnote w:id="52">
    <w:p w14:paraId="1F0E5CDA" w14:textId="77777777" w:rsidR="00E02FE2" w:rsidRPr="000363CC" w:rsidRDefault="00E02FE2" w:rsidP="00C35C18">
      <w:pPr>
        <w:pStyle w:val="Notedebasdepage"/>
        <w:rPr>
          <w:sz w:val="18"/>
          <w:szCs w:val="18"/>
        </w:rPr>
      </w:pPr>
      <w:r w:rsidRPr="000363CC">
        <w:rPr>
          <w:rStyle w:val="Appelnotedebasdep"/>
        </w:rPr>
        <w:footnoteRef/>
      </w:r>
      <w:r w:rsidRPr="000363CC">
        <w:rPr>
          <w:rStyle w:val="Appelnotedebasdep"/>
        </w:rPr>
        <w:t xml:space="preserve"> </w:t>
      </w:r>
      <w:r w:rsidRPr="000363CC">
        <w:rPr>
          <w:sz w:val="18"/>
          <w:szCs w:val="18"/>
        </w:rPr>
        <w:t>Situation des sinistrés, Direction des Secours Humanitaires d’Urgences du MAH/CG, 20 septembre 2021</w:t>
      </w:r>
    </w:p>
  </w:footnote>
  <w:footnote w:id="53">
    <w:p w14:paraId="050CDBC2" w14:textId="77777777" w:rsidR="00E02FE2" w:rsidRPr="00CE572E" w:rsidRDefault="00E02FE2" w:rsidP="00C35C18">
      <w:pPr>
        <w:pStyle w:val="Notedebasdepage"/>
      </w:pPr>
      <w:r>
        <w:rPr>
          <w:rStyle w:val="Appelnotedebasdep"/>
        </w:rPr>
        <w:footnoteRef/>
      </w:r>
      <w:r>
        <w:t xml:space="preserve"> </w:t>
      </w:r>
      <w:r w:rsidRPr="00165062">
        <w:t>I</w:t>
      </w:r>
      <w:r w:rsidRPr="00165062">
        <w:rPr>
          <w:rFonts w:ascii="Roboto" w:eastAsia="Roboto" w:hAnsi="Roboto" w:cs="Roboto"/>
        </w:rPr>
        <w:t>ndice mondial des risques climatiques pour l’année 2019</w:t>
      </w:r>
    </w:p>
  </w:footnote>
  <w:footnote w:id="54">
    <w:p w14:paraId="59575CAB" w14:textId="77777777" w:rsidR="00E02FE2" w:rsidRDefault="00E02FE2" w:rsidP="00C35C18">
      <w:pPr>
        <w:pStyle w:val="Notedebasdepage"/>
      </w:pPr>
      <w:r>
        <w:rPr>
          <w:rStyle w:val="Appelnotedebasdep"/>
        </w:rPr>
        <w:footnoteRef/>
      </w:r>
      <w:r>
        <w:t xml:space="preserve"> Processus de définition des cibles de neutralité en matière de dégradation des terres, Rapport final du programme de définition des cibles NDT, République du Niger, janvier 2018</w:t>
      </w:r>
    </w:p>
  </w:footnote>
  <w:footnote w:id="55">
    <w:p w14:paraId="078AF8FF" w14:textId="77777777" w:rsidR="00E02FE2" w:rsidRDefault="00E02FE2" w:rsidP="00C35C18">
      <w:pPr>
        <w:pStyle w:val="Notedebasdepage"/>
      </w:pPr>
      <w:r>
        <w:rPr>
          <w:rStyle w:val="Appelnotedebasdep"/>
        </w:rPr>
        <w:footnoteRef/>
      </w:r>
      <w:r>
        <w:t xml:space="preserve"> Cadre harmonisé mars 2021</w:t>
      </w:r>
    </w:p>
  </w:footnote>
  <w:footnote w:id="56">
    <w:p w14:paraId="797EFF30" w14:textId="77777777" w:rsidR="00E02FE2" w:rsidRDefault="00E02FE2" w:rsidP="00C35C18">
      <w:pPr>
        <w:pStyle w:val="Notedebasdepage"/>
      </w:pPr>
      <w:r>
        <w:rPr>
          <w:rStyle w:val="Appelnotedebasdep"/>
        </w:rPr>
        <w:footnoteRef/>
      </w:r>
      <w:r>
        <w:t xml:space="preserve"> Enquêtes SMART 2020</w:t>
      </w:r>
    </w:p>
  </w:footnote>
  <w:footnote w:id="57">
    <w:p w14:paraId="1810C941" w14:textId="77777777" w:rsidR="00E02FE2" w:rsidRPr="008519F0" w:rsidRDefault="00E02FE2" w:rsidP="00C35C18">
      <w:pPr>
        <w:pStyle w:val="Notedebasdepage"/>
      </w:pPr>
      <w:r>
        <w:rPr>
          <w:rStyle w:val="Appelnotedebasdep"/>
        </w:rPr>
        <w:footnoteRef/>
      </w:r>
      <w:r w:rsidRPr="008519F0">
        <w:t xml:space="preserve"> https://fews.net/west-africa/niger/food-security-outlook/june-2021</w:t>
      </w:r>
    </w:p>
  </w:footnote>
  <w:footnote w:id="58">
    <w:p w14:paraId="57057CFB" w14:textId="77777777" w:rsidR="00E02FE2" w:rsidRPr="008519F0" w:rsidRDefault="00E02FE2" w:rsidP="00C35C18">
      <w:pPr>
        <w:pStyle w:val="Notedebasdepage"/>
      </w:pPr>
      <w:r>
        <w:rPr>
          <w:rStyle w:val="Appelnotedebasdep"/>
        </w:rPr>
        <w:footnoteRef/>
      </w:r>
      <w:r w:rsidRPr="008519F0">
        <w:t xml:space="preserve"> https://www.food-security.net/document/avis-du-pregec-juin-2021/</w:t>
      </w:r>
    </w:p>
  </w:footnote>
  <w:footnote w:id="59">
    <w:p w14:paraId="08989622" w14:textId="77777777" w:rsidR="00E02FE2" w:rsidRPr="00835A5D" w:rsidRDefault="00E02FE2" w:rsidP="00C35C18">
      <w:pPr>
        <w:pStyle w:val="Notedebasdepage"/>
      </w:pPr>
      <w:r>
        <w:rPr>
          <w:rStyle w:val="Appelnotedebasdep"/>
        </w:rPr>
        <w:footnoteRef/>
      </w:r>
      <w:r w:rsidRPr="00835A5D">
        <w:t xml:space="preserve"> </w:t>
      </w:r>
      <w:r>
        <w:t>Cadre harmonisé novembre 2021</w:t>
      </w:r>
    </w:p>
  </w:footnote>
  <w:footnote w:id="60">
    <w:p w14:paraId="60C44DDF" w14:textId="77777777" w:rsidR="00E02FE2" w:rsidRPr="00803128" w:rsidRDefault="00E02FE2" w:rsidP="00C35C18">
      <w:pPr>
        <w:pStyle w:val="Notedebasdepage"/>
        <w:rPr>
          <w:sz w:val="16"/>
          <w:szCs w:val="16"/>
        </w:rPr>
      </w:pPr>
      <w:r w:rsidRPr="00803128">
        <w:rPr>
          <w:rStyle w:val="Appelnotedebasdep"/>
          <w:sz w:val="16"/>
          <w:szCs w:val="16"/>
        </w:rPr>
        <w:footnoteRef/>
      </w:r>
      <w:r w:rsidRPr="00803128">
        <w:rPr>
          <w:sz w:val="16"/>
          <w:szCs w:val="16"/>
        </w:rPr>
        <w:t xml:space="preserve"> https://fews.net/fr/west-africa/niger/food-security-outlook/june-2021</w:t>
      </w:r>
    </w:p>
  </w:footnote>
  <w:footnote w:id="61">
    <w:p w14:paraId="65EC54B4" w14:textId="77777777" w:rsidR="00E02FE2" w:rsidRPr="00803128" w:rsidRDefault="00E02FE2" w:rsidP="00C35C18">
      <w:pPr>
        <w:pStyle w:val="Notedebasdepage"/>
        <w:rPr>
          <w:sz w:val="16"/>
          <w:szCs w:val="16"/>
          <w:lang w:val="en-US"/>
        </w:rPr>
      </w:pPr>
      <w:r w:rsidRPr="00803128">
        <w:rPr>
          <w:rStyle w:val="Appelnotedebasdep"/>
          <w:sz w:val="16"/>
          <w:szCs w:val="16"/>
        </w:rPr>
        <w:footnoteRef/>
      </w:r>
      <w:r w:rsidRPr="00803128">
        <w:rPr>
          <w:sz w:val="16"/>
          <w:szCs w:val="16"/>
          <w:lang w:val="en-US"/>
        </w:rPr>
        <w:t xml:space="preserve"> Ibid</w:t>
      </w:r>
    </w:p>
  </w:footnote>
  <w:footnote w:id="62">
    <w:p w14:paraId="367A5E6C" w14:textId="77777777" w:rsidR="00E02FE2" w:rsidRPr="00803128" w:rsidRDefault="00E02FE2" w:rsidP="00C35C18">
      <w:pPr>
        <w:rPr>
          <w:sz w:val="16"/>
          <w:szCs w:val="16"/>
          <w:lang w:val="en-US"/>
        </w:rPr>
      </w:pPr>
      <w:r w:rsidRPr="00803128">
        <w:rPr>
          <w:sz w:val="16"/>
          <w:szCs w:val="16"/>
          <w:vertAlign w:val="superscript"/>
        </w:rPr>
        <w:footnoteRef/>
      </w:r>
      <w:r w:rsidRPr="00803128">
        <w:rPr>
          <w:sz w:val="16"/>
          <w:szCs w:val="16"/>
          <w:lang w:val="en-US"/>
        </w:rPr>
        <w:t xml:space="preserve"> https://fews.net/fr/west-africa/niger/food-security-outlook/june-2021</w:t>
      </w:r>
    </w:p>
  </w:footnote>
  <w:footnote w:id="63">
    <w:p w14:paraId="0F8537B2" w14:textId="77777777" w:rsidR="00E02FE2" w:rsidRPr="00803128" w:rsidRDefault="00E02FE2" w:rsidP="00C35C18">
      <w:pPr>
        <w:pStyle w:val="Notedebasdepage"/>
        <w:rPr>
          <w:sz w:val="16"/>
          <w:szCs w:val="16"/>
        </w:rPr>
      </w:pPr>
      <w:r w:rsidRPr="00803128">
        <w:rPr>
          <w:rStyle w:val="Appelnotedebasdep"/>
          <w:sz w:val="16"/>
          <w:szCs w:val="16"/>
        </w:rPr>
        <w:footnoteRef/>
      </w:r>
      <w:r w:rsidRPr="00803128">
        <w:rPr>
          <w:sz w:val="16"/>
          <w:szCs w:val="16"/>
        </w:rPr>
        <w:t xml:space="preserve"> Situation des sinistrés, Direction des Secours Humanitaires d’Urgences du MAH/CG, 20 septembre 2021</w:t>
      </w:r>
    </w:p>
  </w:footnote>
  <w:footnote w:id="64">
    <w:p w14:paraId="04B64EB5" w14:textId="77777777" w:rsidR="00E02FE2" w:rsidRPr="00803128" w:rsidRDefault="00E02FE2" w:rsidP="00C35C18">
      <w:pPr>
        <w:pStyle w:val="Notedebasdepage"/>
        <w:rPr>
          <w:sz w:val="16"/>
          <w:szCs w:val="16"/>
        </w:rPr>
      </w:pPr>
      <w:r w:rsidRPr="00803128">
        <w:rPr>
          <w:rStyle w:val="Appelnotedebasdep"/>
          <w:sz w:val="16"/>
          <w:szCs w:val="16"/>
        </w:rPr>
        <w:footnoteRef/>
      </w:r>
      <w:r w:rsidRPr="00803128">
        <w:rPr>
          <w:sz w:val="16"/>
          <w:szCs w:val="16"/>
        </w:rPr>
        <w:t xml:space="preserve"> FAO. 2021. Niger | Moyens d’existence agricole et sécurité alimentaire dans le cadre de la COVID-19 : rapport de suivi, mai 2021. Rome. https://doi.org/10.4060/cb4622fr</w:t>
      </w:r>
    </w:p>
  </w:footnote>
  <w:footnote w:id="65">
    <w:p w14:paraId="60F61B37" w14:textId="77777777" w:rsidR="00E02FE2" w:rsidRPr="00803128" w:rsidRDefault="00E02FE2" w:rsidP="00C35C18">
      <w:pPr>
        <w:pStyle w:val="Notedebasdepage"/>
        <w:rPr>
          <w:sz w:val="16"/>
          <w:szCs w:val="16"/>
        </w:rPr>
      </w:pPr>
      <w:r w:rsidRPr="00803128">
        <w:rPr>
          <w:rStyle w:val="Appelnotedebasdep"/>
          <w:sz w:val="16"/>
          <w:szCs w:val="16"/>
        </w:rPr>
        <w:footnoteRef/>
      </w:r>
      <w:r w:rsidRPr="00803128">
        <w:rPr>
          <w:sz w:val="16"/>
          <w:szCs w:val="16"/>
        </w:rPr>
        <w:t xml:space="preserve"> Ibid</w:t>
      </w:r>
    </w:p>
  </w:footnote>
  <w:footnote w:id="66">
    <w:p w14:paraId="5C7F064A" w14:textId="77777777" w:rsidR="00E02FE2" w:rsidRDefault="00E02FE2" w:rsidP="00C35C18">
      <w:pPr>
        <w:rPr>
          <w:sz w:val="20"/>
          <w:szCs w:val="20"/>
        </w:rPr>
      </w:pPr>
      <w:r>
        <w:rPr>
          <w:vertAlign w:val="superscript"/>
        </w:rPr>
        <w:footnoteRef/>
      </w:r>
      <w:r>
        <w:rPr>
          <w:sz w:val="20"/>
          <w:szCs w:val="20"/>
        </w:rPr>
        <w:t xml:space="preserve"> </w:t>
      </w:r>
      <w:r>
        <w:t>Ibid</w:t>
      </w:r>
    </w:p>
  </w:footnote>
  <w:footnote w:id="67">
    <w:p w14:paraId="102121A6" w14:textId="77777777" w:rsidR="00E02FE2" w:rsidRDefault="00E02FE2" w:rsidP="00C35C18">
      <w:pPr>
        <w:rPr>
          <w:sz w:val="20"/>
          <w:szCs w:val="20"/>
        </w:rPr>
      </w:pPr>
      <w:r>
        <w:rPr>
          <w:vertAlign w:val="superscript"/>
        </w:rPr>
        <w:footnoteRef/>
      </w:r>
      <w:r>
        <w:rPr>
          <w:sz w:val="20"/>
          <w:szCs w:val="20"/>
        </w:rPr>
        <w:t xml:space="preserve"> </w:t>
      </w:r>
      <w:r w:rsidRPr="00D2530D">
        <w:rPr>
          <w:sz w:val="20"/>
          <w:szCs w:val="20"/>
        </w:rPr>
        <w:t>Enquête d’évaluation multisectorielle des besoins 2021</w:t>
      </w:r>
    </w:p>
  </w:footnote>
  <w:footnote w:id="68">
    <w:p w14:paraId="62148BD5" w14:textId="77777777" w:rsidR="00E02FE2" w:rsidRDefault="00E02FE2" w:rsidP="00C35C18">
      <w:pPr>
        <w:pStyle w:val="Notedebasdepage"/>
      </w:pPr>
      <w:r>
        <w:rPr>
          <w:rStyle w:val="Appelnotedebasdep"/>
        </w:rPr>
        <w:footnoteRef/>
      </w:r>
      <w:r>
        <w:t xml:space="preserve"> </w:t>
      </w:r>
      <w:r w:rsidRPr="00D2530D">
        <w:t xml:space="preserve">Enquête SMART, </w:t>
      </w:r>
      <w:r>
        <w:t>novembre 2021</w:t>
      </w:r>
    </w:p>
  </w:footnote>
  <w:footnote w:id="69">
    <w:p w14:paraId="494562DD" w14:textId="77777777" w:rsidR="00E02FE2" w:rsidRPr="00F852C0" w:rsidRDefault="00E02FE2" w:rsidP="00364977">
      <w:pPr>
        <w:pStyle w:val="Notedebasdepage"/>
      </w:pPr>
      <w:r>
        <w:rPr>
          <w:rStyle w:val="Appelnotedebasdep"/>
        </w:rPr>
        <w:footnoteRef/>
      </w:r>
      <w:r>
        <w:t xml:space="preserve"> Ibid</w:t>
      </w:r>
    </w:p>
  </w:footnote>
  <w:footnote w:id="70">
    <w:p w14:paraId="05EE9520" w14:textId="77777777" w:rsidR="00E02FE2" w:rsidRPr="005045E5" w:rsidRDefault="00E02FE2" w:rsidP="00364977">
      <w:pPr>
        <w:pStyle w:val="Notedebasdepage"/>
      </w:pPr>
      <w:r>
        <w:rPr>
          <w:rStyle w:val="Appelnotedebasdep"/>
        </w:rPr>
        <w:footnoteRef/>
      </w:r>
      <w:r>
        <w:t xml:space="preserve"> Niger.Populationdata,17 mars 2021</w:t>
      </w:r>
    </w:p>
  </w:footnote>
  <w:footnote w:id="71">
    <w:p w14:paraId="2CDBA220" w14:textId="77777777" w:rsidR="00E02FE2" w:rsidRDefault="00E02FE2" w:rsidP="00364977">
      <w:pPr>
        <w:spacing w:after="0" w:line="240" w:lineRule="auto"/>
        <w:rPr>
          <w:sz w:val="20"/>
          <w:szCs w:val="20"/>
        </w:rPr>
      </w:pPr>
      <w:r>
        <w:rPr>
          <w:vertAlign w:val="superscript"/>
        </w:rPr>
        <w:footnoteRef/>
      </w:r>
      <w:r>
        <w:rPr>
          <w:sz w:val="20"/>
          <w:szCs w:val="20"/>
        </w:rPr>
        <w:t xml:space="preserve"> </w:t>
      </w:r>
      <w:r>
        <w:rPr>
          <w:rFonts w:ascii="Arial" w:eastAsia="Arial" w:hAnsi="Arial" w:cs="Arial"/>
          <w:sz w:val="18"/>
          <w:szCs w:val="18"/>
        </w:rPr>
        <w:t>A</w:t>
      </w:r>
      <w:r w:rsidRPr="006B21F8">
        <w:rPr>
          <w:sz w:val="20"/>
          <w:szCs w:val="20"/>
        </w:rPr>
        <w:t>utonomisation des femmes et dividende démographique au sahel 2018</w:t>
      </w:r>
    </w:p>
  </w:footnote>
  <w:footnote w:id="72">
    <w:p w14:paraId="00E773A1" w14:textId="77777777" w:rsidR="00E02FE2" w:rsidRDefault="00E02FE2" w:rsidP="00364977">
      <w:pPr>
        <w:pStyle w:val="Notedebasdepage"/>
      </w:pPr>
      <w:r>
        <w:rPr>
          <w:rStyle w:val="Appelnotedebasdep"/>
        </w:rPr>
        <w:footnoteRef/>
      </w:r>
      <w:r>
        <w:t xml:space="preserve"> Présentation de la situation épidémiologique au forum humanitaire du 28 octobre, Cluster santé</w:t>
      </w:r>
    </w:p>
  </w:footnote>
  <w:footnote w:id="73">
    <w:p w14:paraId="4A4B9E56" w14:textId="77777777" w:rsidR="00E02FE2" w:rsidRDefault="00E02FE2" w:rsidP="00364977">
      <w:pPr>
        <w:pStyle w:val="Notedebasdepage"/>
      </w:pPr>
      <w:r>
        <w:rPr>
          <w:rStyle w:val="Appelnotedebasdep"/>
        </w:rPr>
        <w:footnoteRef/>
      </w:r>
      <w:r>
        <w:t xml:space="preserve"> Situation épidémiologique du COVID-19 dans les pays de l’UCPO à la date du 21 septembre 2021, cluster santé</w:t>
      </w:r>
    </w:p>
  </w:footnote>
  <w:footnote w:id="74">
    <w:p w14:paraId="4BB410AA" w14:textId="77777777" w:rsidR="00E02FE2" w:rsidRPr="00DA0DFB" w:rsidRDefault="00E02FE2" w:rsidP="0028280C">
      <w:pPr>
        <w:pStyle w:val="Notedebasdepage"/>
        <w:jc w:val="both"/>
      </w:pPr>
      <w:r>
        <w:rPr>
          <w:rStyle w:val="Appelnotedebasdep"/>
        </w:rPr>
        <w:footnoteRef/>
      </w:r>
      <w:r>
        <w:t xml:space="preserve"> </w:t>
      </w:r>
      <w:r w:rsidRPr="00DA0DFB">
        <w:rPr>
          <w:rFonts w:ascii="Times New Roman" w:hAnsi="Times New Roman" w:cs="Times New Roman"/>
        </w:rPr>
        <w:t>Cf. Plan de réponse humanitaire - Février 2021</w:t>
      </w:r>
      <w:r>
        <w:t xml:space="preserve">  </w:t>
      </w:r>
    </w:p>
  </w:footnote>
  <w:footnote w:id="75">
    <w:p w14:paraId="55F0217F" w14:textId="77777777" w:rsidR="00E02FE2" w:rsidRPr="003B1E0E" w:rsidRDefault="00E02FE2" w:rsidP="0028280C">
      <w:pPr>
        <w:pStyle w:val="Notedebasdepage"/>
      </w:pPr>
      <w:r>
        <w:rPr>
          <w:rStyle w:val="Appelnotedebasdep"/>
        </w:rPr>
        <w:footnoteRef/>
      </w:r>
      <w:r>
        <w:t xml:space="preserve"> </w:t>
      </w:r>
      <w:r w:rsidRPr="003B1E0E">
        <w:rPr>
          <w:rFonts w:ascii="Times New Roman" w:hAnsi="Times New Roman" w:cs="Times New Roman"/>
        </w:rPr>
        <w:t>Idem</w:t>
      </w:r>
      <w:r w:rsidRPr="003B1E0E">
        <w:t xml:space="preserve"> </w:t>
      </w:r>
      <w:r w:rsidRPr="00DA0DFB">
        <w:rPr>
          <w:rFonts w:ascii="Times New Roman" w:hAnsi="Times New Roman" w:cs="Times New Roman"/>
        </w:rPr>
        <w:t>Plan de réponse humanitaire - Février 2021</w:t>
      </w:r>
      <w:r>
        <w:t xml:space="preserve">  </w:t>
      </w:r>
    </w:p>
  </w:footnote>
  <w:footnote w:id="76">
    <w:p w14:paraId="7841F9DF" w14:textId="77777777" w:rsidR="00E02FE2" w:rsidRPr="001873A3" w:rsidRDefault="00E02FE2" w:rsidP="0028280C">
      <w:pPr>
        <w:pStyle w:val="Notedebasdepage"/>
      </w:pPr>
      <w:r>
        <w:rPr>
          <w:rStyle w:val="Appelnotedebasdep"/>
        </w:rPr>
        <w:footnoteRef/>
      </w:r>
      <w:r>
        <w:t xml:space="preserve"> </w:t>
      </w:r>
      <w:r w:rsidRPr="00EE757D">
        <w:rPr>
          <w:rFonts w:ascii="Times New Roman" w:hAnsi="Times New Roman" w:cs="Times New Roman"/>
        </w:rPr>
        <w:t>Voir les recommandations du Comité relatif des droits des personnes handicapées CRPD/C/NER/CO/1, 2019</w:t>
      </w:r>
    </w:p>
  </w:footnote>
  <w:footnote w:id="77">
    <w:p w14:paraId="161BE011" w14:textId="77777777" w:rsidR="00E02FE2" w:rsidRPr="00AC683B" w:rsidRDefault="00E02FE2" w:rsidP="0028280C">
      <w:pPr>
        <w:pStyle w:val="Notedebasdepage"/>
        <w:widowControl w:val="0"/>
        <w:jc w:val="both"/>
        <w:rPr>
          <w:rFonts w:cs="Times New Roman"/>
        </w:rPr>
      </w:pPr>
      <w:r w:rsidRPr="00AC683B">
        <w:rPr>
          <w:rStyle w:val="Appelnotedebasdep"/>
          <w:rFonts w:cs="Times New Roman"/>
        </w:rPr>
        <w:footnoteRef/>
      </w:r>
      <w:r w:rsidRPr="00AC683B">
        <w:rPr>
          <w:rFonts w:cs="Times New Roman"/>
        </w:rPr>
        <w:t xml:space="preserve"> INS, Annuaire statistique, 2013-2017, Edition 2018, Novembre 2018.</w:t>
      </w:r>
    </w:p>
  </w:footnote>
  <w:footnote w:id="78">
    <w:p w14:paraId="466FAFFC" w14:textId="77777777" w:rsidR="00E02FE2" w:rsidRPr="00AC683B" w:rsidRDefault="00E02FE2" w:rsidP="0028280C">
      <w:pPr>
        <w:pStyle w:val="Notedebasdepage"/>
        <w:rPr>
          <w:rFonts w:cs="Times New Roman"/>
        </w:rPr>
      </w:pPr>
      <w:r w:rsidRPr="00AC683B">
        <w:rPr>
          <w:rStyle w:val="Appelnotedebasdep"/>
          <w:rFonts w:cs="Times New Roman"/>
        </w:rPr>
        <w:footnoteRef/>
      </w:r>
      <w:r w:rsidRPr="00AC683B">
        <w:rPr>
          <w:rFonts w:cs="Times New Roman"/>
        </w:rPr>
        <w:t xml:space="preserve"> Plan d’Action 2016-2020 de l’Initiative 3N.</w:t>
      </w:r>
    </w:p>
  </w:footnote>
  <w:footnote w:id="79">
    <w:p w14:paraId="45BF3F26" w14:textId="77777777" w:rsidR="00E02FE2" w:rsidRPr="00B937AF" w:rsidRDefault="00E02FE2" w:rsidP="0028280C">
      <w:pPr>
        <w:widowControl w:val="0"/>
        <w:spacing w:after="0" w:line="240" w:lineRule="auto"/>
        <w:jc w:val="both"/>
        <w:rPr>
          <w:rFonts w:ascii="Times New Roman" w:hAnsi="Times New Roman" w:cs="Times New Roman"/>
          <w:sz w:val="20"/>
          <w:szCs w:val="20"/>
        </w:rPr>
      </w:pPr>
      <w:r w:rsidRPr="00B937AF">
        <w:rPr>
          <w:rStyle w:val="Appelnotedebasdep"/>
          <w:rFonts w:ascii="Times New Roman" w:hAnsi="Times New Roman" w:cs="Times New Roman"/>
        </w:rPr>
        <w:footnoteRef/>
      </w:r>
      <w:r w:rsidRPr="00B937AF">
        <w:rPr>
          <w:rFonts w:ascii="Times New Roman" w:hAnsi="Times New Roman" w:cs="Times New Roman"/>
          <w:sz w:val="20"/>
          <w:szCs w:val="20"/>
        </w:rPr>
        <w:t xml:space="preserve"> Idrissa OUMAROU et al. : Gestion de l’eau et décentralisation au Niger : Cas de la mare de Tashi (Bonkoukou, Filingué).</w:t>
      </w:r>
    </w:p>
  </w:footnote>
  <w:footnote w:id="80">
    <w:p w14:paraId="54E65E29" w14:textId="77777777" w:rsidR="00E02FE2" w:rsidRPr="00D656AD" w:rsidRDefault="00E02FE2" w:rsidP="0028280C">
      <w:pPr>
        <w:pStyle w:val="Notedebasdepage"/>
        <w:rPr>
          <w:rFonts w:cs="Times New Roman"/>
        </w:rPr>
      </w:pPr>
      <w:r w:rsidRPr="00D656AD">
        <w:rPr>
          <w:rStyle w:val="Appelnotedebasdep"/>
          <w:rFonts w:cs="Times New Roman"/>
        </w:rPr>
        <w:footnoteRef/>
      </w:r>
      <w:r w:rsidRPr="00D656AD">
        <w:rPr>
          <w:rFonts w:cs="Times New Roman"/>
        </w:rPr>
        <w:t xml:space="preserve"> RMO 2017-2021, MESUDD cité par Ministère du Plan, Formulation du PDES 2022-2026.</w:t>
      </w:r>
    </w:p>
  </w:footnote>
  <w:footnote w:id="81">
    <w:p w14:paraId="24B71E11" w14:textId="77777777" w:rsidR="00E02FE2" w:rsidRPr="00D656AD" w:rsidRDefault="00E02FE2" w:rsidP="0028280C">
      <w:pPr>
        <w:pStyle w:val="Default"/>
        <w:widowControl w:val="0"/>
        <w:jc w:val="both"/>
        <w:rPr>
          <w:rFonts w:ascii="Times New Roman" w:hAnsi="Times New Roman" w:cs="Times New Roman"/>
          <w:sz w:val="20"/>
          <w:szCs w:val="20"/>
        </w:rPr>
      </w:pPr>
      <w:r w:rsidRPr="00D656AD">
        <w:rPr>
          <w:rStyle w:val="Appelnotedebasdep"/>
          <w:rFonts w:ascii="Times New Roman" w:hAnsi="Times New Roman" w:cs="Times New Roman"/>
        </w:rPr>
        <w:footnoteRef/>
      </w:r>
      <w:r w:rsidRPr="00D656AD">
        <w:rPr>
          <w:rFonts w:ascii="Times New Roman" w:hAnsi="Times New Roman" w:cs="Times New Roman"/>
          <w:sz w:val="20"/>
          <w:szCs w:val="20"/>
        </w:rPr>
        <w:t xml:space="preserve"> Rapport de l’enquête de base sur les indicateurs prioritaires de la phase 1 PROSEHA de l’INS/ 2020 </w:t>
      </w:r>
    </w:p>
  </w:footnote>
  <w:footnote w:id="82">
    <w:p w14:paraId="20093D7B" w14:textId="77777777" w:rsidR="00E02FE2" w:rsidRPr="007E34F7" w:rsidRDefault="00E02FE2" w:rsidP="0028280C">
      <w:pPr>
        <w:pStyle w:val="Pa12"/>
        <w:widowControl w:val="0"/>
        <w:spacing w:line="240" w:lineRule="auto"/>
        <w:jc w:val="both"/>
        <w:rPr>
          <w:rFonts w:ascii="Times New Roman" w:hAnsi="Times New Roman" w:cs="Times New Roman"/>
          <w:sz w:val="16"/>
          <w:szCs w:val="16"/>
        </w:rPr>
      </w:pPr>
      <w:r w:rsidRPr="004127A1">
        <w:rPr>
          <w:rStyle w:val="Appelnotedebasdep"/>
          <w:sz w:val="16"/>
          <w:szCs w:val="16"/>
        </w:rPr>
        <w:footnoteRef/>
      </w:r>
      <w:r w:rsidRPr="004127A1">
        <w:rPr>
          <w:sz w:val="16"/>
          <w:szCs w:val="16"/>
        </w:rPr>
        <w:t xml:space="preserve"> </w:t>
      </w:r>
      <w:r w:rsidRPr="007E34F7">
        <w:rPr>
          <w:rFonts w:ascii="Times New Roman" w:hAnsi="Times New Roman" w:cs="Times New Roman"/>
          <w:b/>
          <w:bCs/>
          <w:color w:val="000000"/>
          <w:sz w:val="16"/>
          <w:szCs w:val="16"/>
        </w:rPr>
        <w:t>Priorité 1</w:t>
      </w:r>
      <w:r w:rsidRPr="007E34F7">
        <w:rPr>
          <w:rFonts w:ascii="Times New Roman" w:hAnsi="Times New Roman" w:cs="Times New Roman"/>
          <w:color w:val="000000"/>
          <w:sz w:val="16"/>
          <w:szCs w:val="16"/>
        </w:rPr>
        <w:t xml:space="preserve"> : comprendre les risques de catastrophe ; </w:t>
      </w:r>
      <w:r w:rsidRPr="007E34F7">
        <w:rPr>
          <w:rFonts w:ascii="Times New Roman" w:hAnsi="Times New Roman" w:cs="Times New Roman"/>
          <w:b/>
          <w:bCs/>
          <w:color w:val="000000"/>
          <w:sz w:val="16"/>
          <w:szCs w:val="16"/>
        </w:rPr>
        <w:t>Priorité 2</w:t>
      </w:r>
      <w:r w:rsidRPr="007E34F7">
        <w:rPr>
          <w:rFonts w:ascii="Times New Roman" w:hAnsi="Times New Roman" w:cs="Times New Roman"/>
          <w:color w:val="000000"/>
          <w:sz w:val="16"/>
          <w:szCs w:val="16"/>
        </w:rPr>
        <w:t xml:space="preserve"> : renforcer la gouvernance des risques de catastrophe pour mieux les gérer ; </w:t>
      </w:r>
      <w:r w:rsidRPr="007E34F7">
        <w:rPr>
          <w:rFonts w:ascii="Times New Roman" w:hAnsi="Times New Roman" w:cs="Times New Roman"/>
          <w:b/>
          <w:bCs/>
          <w:color w:val="000000"/>
          <w:sz w:val="16"/>
          <w:szCs w:val="16"/>
        </w:rPr>
        <w:t xml:space="preserve">Priorité </w:t>
      </w:r>
      <w:r w:rsidRPr="004127A1">
        <w:rPr>
          <w:rFonts w:ascii="Times New Roman" w:hAnsi="Times New Roman" w:cs="Times New Roman"/>
          <w:color w:val="000000"/>
          <w:sz w:val="16"/>
          <w:szCs w:val="16"/>
        </w:rPr>
        <w:t>3</w:t>
      </w:r>
      <w:r w:rsidRPr="007E34F7">
        <w:rPr>
          <w:rFonts w:ascii="Times New Roman" w:hAnsi="Times New Roman" w:cs="Times New Roman"/>
          <w:color w:val="000000"/>
          <w:sz w:val="16"/>
          <w:szCs w:val="16"/>
        </w:rPr>
        <w:t xml:space="preserve"> : investir dans la réduction des risques de catastrophe aux fins de la résilience ; </w:t>
      </w:r>
      <w:r w:rsidRPr="007E34F7">
        <w:rPr>
          <w:rFonts w:ascii="Times New Roman" w:hAnsi="Times New Roman" w:cs="Times New Roman"/>
          <w:b/>
          <w:bCs/>
          <w:color w:val="000000"/>
          <w:sz w:val="16"/>
          <w:szCs w:val="16"/>
        </w:rPr>
        <w:t>Priorité 4</w:t>
      </w:r>
      <w:r w:rsidRPr="007E34F7">
        <w:rPr>
          <w:rFonts w:ascii="Times New Roman" w:hAnsi="Times New Roman" w:cs="Times New Roman"/>
          <w:color w:val="000000"/>
          <w:sz w:val="16"/>
          <w:szCs w:val="16"/>
        </w:rPr>
        <w:t xml:space="preserve"> : renforcer l’état de préparation aux catastrophes pour intervenir de manière efficace et pour « mieux reconstruire » durant la phase de relèvement, de remise en état et de reconstruction.</w:t>
      </w:r>
    </w:p>
  </w:footnote>
  <w:footnote w:id="83">
    <w:p w14:paraId="1D886037" w14:textId="77777777" w:rsidR="00E02FE2" w:rsidRPr="00654F4F" w:rsidRDefault="00E02FE2" w:rsidP="0028280C">
      <w:pPr>
        <w:pStyle w:val="Notedebasdepage"/>
        <w:rPr>
          <w:rFonts w:ascii="Times New Roman" w:hAnsi="Times New Roman" w:cs="Times New Roman"/>
        </w:rPr>
      </w:pPr>
      <w:r>
        <w:rPr>
          <w:rStyle w:val="Appelnotedebasdep"/>
        </w:rPr>
        <w:footnoteRef/>
      </w:r>
      <w:r>
        <w:t xml:space="preserve"> </w:t>
      </w:r>
      <w:r w:rsidRPr="00654F4F">
        <w:rPr>
          <w:rFonts w:ascii="Times New Roman" w:hAnsi="Times New Roman" w:cs="Times New Roman"/>
        </w:rPr>
        <w:t>Discourt de la ministre de l’Environnement et de la Lutte contre la Désertification au cours du Lancement à Aderbissanat de la Campagne nationale de lutte contre les feux de brousse le 18 octobre 2021</w:t>
      </w:r>
    </w:p>
  </w:footnote>
  <w:footnote w:id="84">
    <w:p w14:paraId="13DFF13B" w14:textId="77777777" w:rsidR="00E02FE2" w:rsidRPr="00190696" w:rsidRDefault="00E02FE2" w:rsidP="0028280C">
      <w:pPr>
        <w:pStyle w:val="Notedebasdepage"/>
        <w:jc w:val="both"/>
      </w:pPr>
      <w:r>
        <w:rPr>
          <w:rStyle w:val="Appelnotedebasdep"/>
        </w:rPr>
        <w:footnoteRef/>
      </w:r>
      <w:r>
        <w:t xml:space="preserve"> </w:t>
      </w:r>
      <w:r w:rsidRPr="00190696">
        <w:rPr>
          <w:rFonts w:ascii="Times New Roman" w:hAnsi="Times New Roman" w:cs="Times New Roman"/>
        </w:rPr>
        <w:t>Cf. Etude nationale d’évaluation d’indicateurs socio-économiques et démographiques (ENISED) menée par l’INS</w:t>
      </w:r>
    </w:p>
  </w:footnote>
  <w:footnote w:id="85">
    <w:p w14:paraId="11361058" w14:textId="77777777" w:rsidR="00E02FE2" w:rsidRPr="00905B6D" w:rsidRDefault="00E02FE2" w:rsidP="0028280C">
      <w:pPr>
        <w:pStyle w:val="Notedebasdepage"/>
        <w:jc w:val="both"/>
      </w:pPr>
      <w:r>
        <w:rPr>
          <w:rStyle w:val="Appelnotedebasdep"/>
        </w:rPr>
        <w:footnoteRef/>
      </w:r>
      <w:r>
        <w:t xml:space="preserve"> Cf</w:t>
      </w:r>
      <w:r w:rsidRPr="00905B6D">
        <w:rPr>
          <w:rFonts w:ascii="Times New Roman" w:hAnsi="Times New Roman" w:cs="Times New Roman"/>
        </w:rPr>
        <w:t>. Les statistiques de la Direction de la Statistique du Ministère de la Justice</w:t>
      </w:r>
    </w:p>
  </w:footnote>
  <w:footnote w:id="86">
    <w:p w14:paraId="621DC460" w14:textId="77777777" w:rsidR="00E02FE2" w:rsidRPr="00670794" w:rsidRDefault="00E02FE2" w:rsidP="0028280C">
      <w:pPr>
        <w:spacing w:after="236"/>
        <w:ind w:left="-5" w:right="122"/>
        <w:jc w:val="both"/>
        <w:rPr>
          <w:sz w:val="20"/>
          <w:szCs w:val="20"/>
        </w:rPr>
      </w:pPr>
      <w:r>
        <w:rPr>
          <w:rStyle w:val="Appelnotedebasdep"/>
        </w:rPr>
        <w:footnoteRef/>
      </w:r>
      <w:r>
        <w:t xml:space="preserve"> </w:t>
      </w:r>
      <w:r w:rsidRPr="00670794">
        <w:rPr>
          <w:rFonts w:ascii="Times New Roman" w:hAnsi="Times New Roman" w:cs="Times New Roman"/>
          <w:sz w:val="20"/>
          <w:szCs w:val="20"/>
        </w:rPr>
        <w:t>Cf. Rapport « Evaluation des Finances Publiques du Niger selon la Méthodologie PEFA 2016 ».</w:t>
      </w:r>
      <w:r w:rsidRPr="00670794">
        <w:rPr>
          <w:sz w:val="20"/>
          <w:szCs w:val="20"/>
        </w:rPr>
        <w:t xml:space="preserve"> </w:t>
      </w:r>
    </w:p>
  </w:footnote>
  <w:footnote w:id="87">
    <w:p w14:paraId="2B0390DC" w14:textId="77777777" w:rsidR="00E02FE2" w:rsidRPr="000145CE" w:rsidRDefault="00E02FE2" w:rsidP="0028280C">
      <w:pPr>
        <w:ind w:right="122"/>
        <w:jc w:val="both"/>
        <w:rPr>
          <w:rFonts w:ascii="Times New Roman" w:hAnsi="Times New Roman" w:cs="Times New Roman"/>
          <w:sz w:val="20"/>
          <w:szCs w:val="20"/>
        </w:rPr>
      </w:pPr>
      <w:r w:rsidRPr="00670794">
        <w:rPr>
          <w:rStyle w:val="Appelnotedebasdep"/>
        </w:rPr>
        <w:footnoteRef/>
      </w:r>
      <w:r w:rsidRPr="00670794">
        <w:rPr>
          <w:sz w:val="20"/>
          <w:szCs w:val="20"/>
        </w:rPr>
        <w:t xml:space="preserve"> </w:t>
      </w:r>
      <w:r w:rsidRPr="00670794">
        <w:rPr>
          <w:rFonts w:ascii="Times New Roman" w:hAnsi="Times New Roman" w:cs="Times New Roman"/>
          <w:sz w:val="20"/>
          <w:szCs w:val="20"/>
        </w:rPr>
        <w:t>Cf. qui précédaient l’enquête, selon les résultats de l’ERI-E</w:t>
      </w:r>
      <w:r>
        <w:rPr>
          <w:rFonts w:ascii="Times New Roman" w:hAnsi="Times New Roman" w:cs="Times New Roman"/>
          <w:sz w:val="20"/>
          <w:szCs w:val="20"/>
        </w:rPr>
        <w:t>SI 2017.</w:t>
      </w:r>
    </w:p>
  </w:footnote>
  <w:footnote w:id="88">
    <w:p w14:paraId="42D916AC" w14:textId="77777777" w:rsidR="00E02FE2" w:rsidRPr="00572860" w:rsidRDefault="00E02FE2" w:rsidP="0028280C">
      <w:pPr>
        <w:pStyle w:val="Notedebasdepage"/>
        <w:rPr>
          <w:rFonts w:ascii="Arial Narrow" w:hAnsi="Arial Narrow"/>
        </w:rPr>
      </w:pPr>
      <w:r w:rsidRPr="00572860">
        <w:rPr>
          <w:rStyle w:val="Appelnotedebasdep"/>
          <w:rFonts w:ascii="Arial Narrow" w:hAnsi="Arial Narrow"/>
        </w:rPr>
        <w:footnoteRef/>
      </w:r>
      <w:r w:rsidRPr="00572860">
        <w:rPr>
          <w:rFonts w:ascii="Arial Narrow" w:hAnsi="Arial Narrow"/>
        </w:rPr>
        <w:t xml:space="preserve"> SDG Center for Africa and Sustainable Development Solutions Network, Résumé du rapport | Indice et Tableaux de Bord des ODD en Afrique 2019</w:t>
      </w:r>
    </w:p>
  </w:footnote>
  <w:footnote w:id="89">
    <w:p w14:paraId="1D479AA8" w14:textId="77777777" w:rsidR="00E02FE2" w:rsidRPr="007E34F7" w:rsidRDefault="00E02FE2" w:rsidP="0028280C">
      <w:pPr>
        <w:pStyle w:val="Notedebasdepage"/>
        <w:jc w:val="both"/>
        <w:rPr>
          <w:rFonts w:cs="Times New Roman"/>
          <w:sz w:val="16"/>
        </w:rPr>
      </w:pPr>
      <w:r>
        <w:rPr>
          <w:rStyle w:val="Appelnotedebasdep"/>
        </w:rPr>
        <w:footnoteRef/>
      </w:r>
      <w:r>
        <w:t xml:space="preserve"> </w:t>
      </w:r>
      <w:r w:rsidRPr="007E34F7">
        <w:rPr>
          <w:rFonts w:cs="Times New Roman"/>
          <w:sz w:val="16"/>
        </w:rPr>
        <w:t>Cible 2.1 : D’ici à 2030, éliminer la faim et faire en sorte que chacun, en particulier les pauvres et les personnes en situation vulnérable, y compris les nourrissons, ait accès tout au long de l’année à une alimentation saine, nutritive et suffisante.</w:t>
      </w:r>
    </w:p>
  </w:footnote>
  <w:footnote w:id="90">
    <w:p w14:paraId="5F04CE29" w14:textId="77777777" w:rsidR="00E02FE2" w:rsidRPr="00622C6C" w:rsidRDefault="00E02FE2" w:rsidP="0028280C">
      <w:pPr>
        <w:pStyle w:val="Notedebasdepage"/>
        <w:jc w:val="both"/>
        <w:rPr>
          <w:rFonts w:ascii="Times New Roman" w:hAnsi="Times New Roman" w:cs="Times New Roman"/>
          <w:sz w:val="18"/>
          <w:szCs w:val="18"/>
        </w:rPr>
      </w:pPr>
      <w:r>
        <w:rPr>
          <w:rStyle w:val="Appelnotedebasdep"/>
        </w:rPr>
        <w:footnoteRef/>
      </w:r>
      <w:r>
        <w:t xml:space="preserve"> </w:t>
      </w:r>
      <w:r w:rsidRPr="00622C6C">
        <w:rPr>
          <w:rFonts w:ascii="Times New Roman" w:hAnsi="Times New Roman" w:cs="Times New Roman"/>
          <w:sz w:val="18"/>
          <w:szCs w:val="18"/>
        </w:rPr>
        <w:t>Cible 2.3 D’ici à 2030, doubler la productivité agricole et les revenus des petits producteurs alimentaires, en particulier des femmes, des autochtones, des exploitants familiaux, des éleveurs et des pêcheurs, y compris en assurant l’égalité d’accès aux terres, aux autres ressources productives et facteurs de production, au savoir, aux services financiers, aux marchés et aux possibilités d’ajout de valeur et d’emplois autres qu’agricoles.</w:t>
      </w:r>
    </w:p>
  </w:footnote>
  <w:footnote w:id="91">
    <w:p w14:paraId="5665DE66" w14:textId="77777777" w:rsidR="00E02FE2" w:rsidRPr="00622C6C" w:rsidRDefault="00E02FE2" w:rsidP="0028280C">
      <w:pPr>
        <w:pStyle w:val="Notedebasdepage"/>
        <w:jc w:val="both"/>
        <w:rPr>
          <w:rFonts w:ascii="Times New Roman" w:hAnsi="Times New Roman" w:cs="Times New Roman"/>
          <w:sz w:val="16"/>
        </w:rPr>
      </w:pPr>
      <w:r w:rsidRPr="00622C6C">
        <w:rPr>
          <w:rStyle w:val="Appelnotedebasdep"/>
          <w:rFonts w:ascii="Times New Roman" w:hAnsi="Times New Roman" w:cs="Times New Roman"/>
          <w:sz w:val="18"/>
          <w:szCs w:val="18"/>
        </w:rPr>
        <w:footnoteRef/>
      </w:r>
      <w:r w:rsidRPr="00622C6C">
        <w:rPr>
          <w:rFonts w:ascii="Times New Roman" w:hAnsi="Times New Roman" w:cs="Times New Roman"/>
          <w:sz w:val="18"/>
          <w:szCs w:val="18"/>
        </w:rPr>
        <w:t xml:space="preserve"> Cible 2.a : Accroître, notamment grâce au renforcement de la coopération internationale, l’investissement dans l’infrastructure rurale, les services de recherche et de vulgarisation agricoles et la mise au point de technologies et de banques de plantes et de gènes d’animaux d’élevage, afin de renforcer les capacités productives agricoles des pays en développement, en particulier des pays les moins avancés</w:t>
      </w:r>
      <w:r w:rsidRPr="00622C6C">
        <w:rPr>
          <w:rFonts w:ascii="Times New Roman" w:hAnsi="Times New Roman" w:cs="Times New Roman"/>
          <w:sz w:val="16"/>
        </w:rPr>
        <w:t>.</w:t>
      </w:r>
    </w:p>
  </w:footnote>
  <w:footnote w:id="92">
    <w:p w14:paraId="1D11D14A" w14:textId="77777777" w:rsidR="00E02FE2" w:rsidRDefault="00E02FE2" w:rsidP="0028280C">
      <w:pPr>
        <w:pStyle w:val="Notedebasdepage"/>
        <w:jc w:val="both"/>
      </w:pPr>
      <w:r>
        <w:rPr>
          <w:rStyle w:val="Appelnotedebasdep"/>
        </w:rPr>
        <w:footnoteRef/>
      </w:r>
      <w:r>
        <w:t xml:space="preserve"> </w:t>
      </w:r>
      <w:r w:rsidRPr="00E530DD">
        <w:rPr>
          <w:rFonts w:ascii="Arial Narrow" w:hAnsi="Arial Narrow"/>
        </w:rPr>
        <w:t>Cible 13.1 : Renforcer, dans tous les pays, la résilience et les capacités d’adaptation face aux aléas climatiques et aux catastrophes naturelles liées au climat.</w:t>
      </w:r>
    </w:p>
  </w:footnote>
  <w:footnote w:id="93">
    <w:p w14:paraId="4F96BC61" w14:textId="77777777" w:rsidR="00E02FE2" w:rsidRDefault="00E02FE2" w:rsidP="0028280C">
      <w:pPr>
        <w:pStyle w:val="Notedebasdepage"/>
        <w:jc w:val="both"/>
      </w:pPr>
      <w:r>
        <w:rPr>
          <w:rStyle w:val="Appelnotedebasdep"/>
        </w:rPr>
        <w:footnoteRef/>
      </w:r>
      <w:r>
        <w:t xml:space="preserve"> RNV ODD 2020 et 2021.</w:t>
      </w:r>
    </w:p>
  </w:footnote>
  <w:footnote w:id="94">
    <w:p w14:paraId="0E9B26C9" w14:textId="77777777" w:rsidR="00E02FE2" w:rsidRPr="007E34F7" w:rsidRDefault="00E02FE2" w:rsidP="0028280C">
      <w:pPr>
        <w:widowControl w:val="0"/>
        <w:spacing w:after="0" w:line="240" w:lineRule="auto"/>
        <w:jc w:val="both"/>
        <w:rPr>
          <w:rFonts w:ascii="Times New Roman" w:hAnsi="Times New Roman" w:cs="Times New Roman"/>
          <w:b/>
          <w:bCs/>
          <w:sz w:val="16"/>
          <w:szCs w:val="16"/>
        </w:rPr>
      </w:pPr>
      <w:r w:rsidRPr="007E34F7">
        <w:rPr>
          <w:rStyle w:val="Appelnotedebasdep"/>
          <w:rFonts w:ascii="Times New Roman" w:hAnsi="Times New Roman" w:cs="Times New Roman"/>
          <w:sz w:val="16"/>
          <w:szCs w:val="16"/>
        </w:rPr>
        <w:footnoteRef/>
      </w:r>
      <w:r w:rsidRPr="007E34F7">
        <w:rPr>
          <w:rStyle w:val="Appelnotedebasdep"/>
          <w:rFonts w:ascii="Times New Roman" w:hAnsi="Times New Roman" w:cs="Times New Roman"/>
          <w:sz w:val="16"/>
          <w:szCs w:val="16"/>
        </w:rPr>
        <w:footnoteRef/>
      </w:r>
      <w:r w:rsidRPr="007E34F7">
        <w:rPr>
          <w:rFonts w:ascii="Times New Roman" w:hAnsi="Times New Roman" w:cs="Times New Roman"/>
          <w:sz w:val="16"/>
          <w:szCs w:val="16"/>
        </w:rPr>
        <w:t xml:space="preserve"> RNV ODD 2021.</w:t>
      </w:r>
    </w:p>
  </w:footnote>
  <w:footnote w:id="95">
    <w:p w14:paraId="712BADFB" w14:textId="77777777" w:rsidR="00E02FE2" w:rsidRPr="007E34F7" w:rsidRDefault="00E02FE2" w:rsidP="0028280C">
      <w:pPr>
        <w:pStyle w:val="Notedebasdepage"/>
        <w:jc w:val="both"/>
        <w:rPr>
          <w:rFonts w:cs="Times New Roman"/>
          <w:sz w:val="16"/>
          <w:szCs w:val="16"/>
        </w:rPr>
      </w:pPr>
      <w:r w:rsidRPr="007E34F7">
        <w:rPr>
          <w:rStyle w:val="Appelnotedebasdep"/>
          <w:rFonts w:cs="Times New Roman"/>
          <w:sz w:val="16"/>
          <w:szCs w:val="16"/>
        </w:rPr>
        <w:footnoteRef/>
      </w:r>
      <w:r w:rsidRPr="007E34F7">
        <w:rPr>
          <w:rFonts w:cs="Times New Roman"/>
          <w:sz w:val="16"/>
          <w:szCs w:val="16"/>
        </w:rPr>
        <w:t xml:space="preserve"> Rapport référence 2017.</w:t>
      </w:r>
    </w:p>
  </w:footnote>
  <w:footnote w:id="96">
    <w:p w14:paraId="33BE6288" w14:textId="77777777" w:rsidR="00E02FE2" w:rsidRPr="007E34F7" w:rsidRDefault="00E02FE2" w:rsidP="0028280C">
      <w:pPr>
        <w:pStyle w:val="Notedebasdepage"/>
        <w:jc w:val="both"/>
        <w:rPr>
          <w:rFonts w:cs="Times New Roman"/>
          <w:sz w:val="16"/>
          <w:szCs w:val="16"/>
        </w:rPr>
      </w:pPr>
      <w:r w:rsidRPr="007E34F7">
        <w:rPr>
          <w:rStyle w:val="Appelnotedebasdep"/>
          <w:rFonts w:cs="Times New Roman"/>
          <w:sz w:val="16"/>
          <w:szCs w:val="16"/>
        </w:rPr>
        <w:footnoteRef/>
      </w:r>
      <w:r w:rsidRPr="007E34F7">
        <w:rPr>
          <w:rFonts w:cs="Times New Roman"/>
          <w:sz w:val="16"/>
          <w:szCs w:val="16"/>
        </w:rPr>
        <w:t xml:space="preserve"> Rapport d’atelier du 19 aout 2021 sur la Modernisation du monde rural et du changement climatique.</w:t>
      </w:r>
    </w:p>
  </w:footnote>
  <w:footnote w:id="97">
    <w:p w14:paraId="29D6C80F" w14:textId="77777777" w:rsidR="00E02FE2" w:rsidRPr="007E34F7" w:rsidRDefault="00E02FE2" w:rsidP="0028280C">
      <w:pPr>
        <w:pStyle w:val="Notedebasdepage"/>
        <w:jc w:val="both"/>
        <w:rPr>
          <w:rFonts w:cs="Times New Roman"/>
          <w:sz w:val="16"/>
          <w:szCs w:val="16"/>
        </w:rPr>
      </w:pPr>
      <w:r w:rsidRPr="007E34F7">
        <w:rPr>
          <w:rStyle w:val="Appelnotedebasdep"/>
          <w:rFonts w:cs="Times New Roman"/>
          <w:sz w:val="16"/>
          <w:szCs w:val="16"/>
        </w:rPr>
        <w:footnoteRef/>
      </w:r>
      <w:r w:rsidRPr="007E34F7">
        <w:rPr>
          <w:rFonts w:cs="Times New Roman"/>
          <w:sz w:val="16"/>
          <w:szCs w:val="16"/>
        </w:rPr>
        <w:t xml:space="preserve"> Rapport référence 2017</w:t>
      </w:r>
    </w:p>
  </w:footnote>
  <w:footnote w:id="98">
    <w:p w14:paraId="2FC5BA52" w14:textId="77777777" w:rsidR="00E02FE2" w:rsidRPr="000C3A6A" w:rsidRDefault="00E02FE2" w:rsidP="0028280C">
      <w:pPr>
        <w:pStyle w:val="Notedebasdepage"/>
        <w:jc w:val="both"/>
        <w:rPr>
          <w:rFonts w:cs="Times New Roman"/>
          <w:sz w:val="16"/>
          <w:szCs w:val="16"/>
        </w:rPr>
      </w:pPr>
      <w:r w:rsidRPr="000C3A6A">
        <w:rPr>
          <w:rStyle w:val="Appelnotedebasdep"/>
          <w:rFonts w:cs="Times New Roman"/>
          <w:sz w:val="16"/>
          <w:szCs w:val="16"/>
        </w:rPr>
        <w:footnoteRef/>
      </w:r>
      <w:r w:rsidRPr="000C3A6A">
        <w:rPr>
          <w:rFonts w:cs="Times New Roman"/>
          <w:sz w:val="16"/>
          <w:szCs w:val="16"/>
        </w:rPr>
        <w:t xml:space="preserve"> Cible </w:t>
      </w:r>
      <w:r w:rsidRPr="000C3A6A">
        <w:rPr>
          <w:rFonts w:cs="Times New Roman"/>
          <w:color w:val="000000"/>
          <w:sz w:val="16"/>
          <w:szCs w:val="16"/>
        </w:rPr>
        <w:t>11.1 : D’ici à 2030, assurer l’accès de tous à un logement et des services de base adéquats et sûrs, à un coût abordable, et assainir les quartiers de taudis.</w:t>
      </w:r>
    </w:p>
  </w:footnote>
  <w:footnote w:id="99">
    <w:p w14:paraId="4F89B195" w14:textId="77777777" w:rsidR="00E02FE2" w:rsidRPr="000C3A6A" w:rsidRDefault="00E02FE2" w:rsidP="0028280C">
      <w:pPr>
        <w:pStyle w:val="Default"/>
        <w:jc w:val="both"/>
        <w:rPr>
          <w:rFonts w:ascii="Times New Roman" w:hAnsi="Times New Roman" w:cs="Times New Roman"/>
          <w:sz w:val="16"/>
          <w:szCs w:val="16"/>
        </w:rPr>
      </w:pPr>
      <w:r w:rsidRPr="000C3A6A">
        <w:rPr>
          <w:rStyle w:val="Appelnotedebasdep"/>
          <w:rFonts w:ascii="Times New Roman" w:hAnsi="Times New Roman" w:cs="Times New Roman"/>
          <w:sz w:val="16"/>
          <w:szCs w:val="16"/>
        </w:rPr>
        <w:footnoteRef/>
      </w:r>
      <w:r w:rsidRPr="000C3A6A">
        <w:rPr>
          <w:rFonts w:ascii="Times New Roman" w:hAnsi="Times New Roman" w:cs="Times New Roman"/>
          <w:sz w:val="16"/>
          <w:szCs w:val="16"/>
        </w:rPr>
        <w:t xml:space="preserve"> </w:t>
      </w:r>
      <w:r w:rsidRPr="000C3A6A">
        <w:rPr>
          <w:rFonts w:ascii="Times New Roman" w:hAnsi="Times New Roman" w:cs="Times New Roman"/>
          <w:color w:val="auto"/>
          <w:sz w:val="16"/>
          <w:szCs w:val="16"/>
        </w:rPr>
        <w:t>INS, Situation de référence des objectifs de développement durable (ODD) au Niger, décembre 2017.</w:t>
      </w:r>
    </w:p>
  </w:footnote>
  <w:footnote w:id="100">
    <w:p w14:paraId="706E7A24" w14:textId="77777777" w:rsidR="00E02FE2" w:rsidRPr="000C3A6A" w:rsidRDefault="00E02FE2" w:rsidP="0028280C">
      <w:pPr>
        <w:pStyle w:val="Default"/>
        <w:jc w:val="both"/>
        <w:rPr>
          <w:rFonts w:ascii="Times New Roman" w:hAnsi="Times New Roman" w:cs="Times New Roman"/>
          <w:sz w:val="16"/>
          <w:szCs w:val="16"/>
        </w:rPr>
      </w:pPr>
      <w:r w:rsidRPr="000C3A6A">
        <w:rPr>
          <w:rStyle w:val="Appelnotedebasdep"/>
          <w:rFonts w:ascii="Times New Roman" w:hAnsi="Times New Roman" w:cs="Times New Roman"/>
          <w:sz w:val="16"/>
          <w:szCs w:val="16"/>
        </w:rPr>
        <w:footnoteRef/>
      </w:r>
      <w:r w:rsidRPr="000C3A6A">
        <w:rPr>
          <w:rFonts w:ascii="Times New Roman" w:hAnsi="Times New Roman" w:cs="Times New Roman"/>
          <w:sz w:val="16"/>
          <w:szCs w:val="16"/>
        </w:rPr>
        <w:t xml:space="preserve"> Cible 11.3 : D’ici à 2030, renforcer l’urbanisation durable pour tous et les capacités de planification et de gestion participatives, intégrées et durables des établissements humains dans tous les pays.</w:t>
      </w:r>
    </w:p>
  </w:footnote>
  <w:footnote w:id="101">
    <w:p w14:paraId="5950AF30" w14:textId="77777777" w:rsidR="00E02FE2" w:rsidRPr="000C3A6A" w:rsidRDefault="00E02FE2" w:rsidP="0028280C">
      <w:pPr>
        <w:pStyle w:val="Notedebasdepage"/>
        <w:jc w:val="both"/>
        <w:rPr>
          <w:rFonts w:cs="Times New Roman"/>
          <w:sz w:val="16"/>
          <w:szCs w:val="16"/>
        </w:rPr>
      </w:pPr>
      <w:r w:rsidRPr="000C3A6A">
        <w:rPr>
          <w:rStyle w:val="Appelnotedebasdep"/>
          <w:rFonts w:cs="Times New Roman"/>
          <w:sz w:val="16"/>
          <w:szCs w:val="16"/>
        </w:rPr>
        <w:footnoteRef/>
      </w:r>
      <w:r w:rsidRPr="000C3A6A">
        <w:rPr>
          <w:rFonts w:cs="Times New Roman"/>
          <w:sz w:val="16"/>
          <w:szCs w:val="16"/>
        </w:rPr>
        <w:t xml:space="preserve"> C’est le rapport entre le taux d’utilisation des terres et le taux de croissance démographique.</w:t>
      </w:r>
    </w:p>
  </w:footnote>
  <w:footnote w:id="102">
    <w:p w14:paraId="075DA4E0" w14:textId="77777777" w:rsidR="00E02FE2" w:rsidRPr="00C56D46" w:rsidRDefault="00E02FE2" w:rsidP="0028280C">
      <w:pPr>
        <w:pStyle w:val="Notedebasdepage"/>
        <w:jc w:val="both"/>
        <w:rPr>
          <w:rFonts w:ascii="Times New Roman" w:hAnsi="Times New Roman" w:cs="Times New Roman"/>
          <w:sz w:val="18"/>
          <w:szCs w:val="18"/>
        </w:rPr>
      </w:pPr>
      <w:r w:rsidRPr="000C3A6A">
        <w:rPr>
          <w:rStyle w:val="Appelnotedebasdep"/>
          <w:rFonts w:cs="Times New Roman"/>
          <w:sz w:val="16"/>
          <w:szCs w:val="16"/>
        </w:rPr>
        <w:footnoteRef/>
      </w:r>
      <w:r w:rsidRPr="000C3A6A">
        <w:rPr>
          <w:rFonts w:cs="Times New Roman"/>
          <w:sz w:val="16"/>
          <w:szCs w:val="16"/>
        </w:rPr>
        <w:t xml:space="preserve"> </w:t>
      </w:r>
      <w:r w:rsidRPr="00C56D46">
        <w:rPr>
          <w:rFonts w:ascii="Times New Roman" w:hAnsi="Times New Roman" w:cs="Times New Roman"/>
          <w:sz w:val="18"/>
          <w:szCs w:val="18"/>
        </w:rPr>
        <w:t>Ordonnance 2010 -54 du 17 septembre 2010 portant code Général des collectivités en ses articles 15,16, 35 et 204 (qui donne la latitude aux villes, communes et régions de mettre en place des structures de participation directe de la société civile à la gestion et à l'aménagement des villes, communes et régions).</w:t>
      </w:r>
    </w:p>
  </w:footnote>
  <w:footnote w:id="103">
    <w:p w14:paraId="2E8AD016" w14:textId="77777777" w:rsidR="00E02FE2" w:rsidRPr="00C56D46" w:rsidRDefault="00E02FE2" w:rsidP="0028280C">
      <w:pPr>
        <w:pStyle w:val="Notedebasdepage"/>
        <w:jc w:val="both"/>
        <w:rPr>
          <w:rFonts w:ascii="Times New Roman" w:hAnsi="Times New Roman" w:cs="Times New Roman"/>
          <w:sz w:val="18"/>
          <w:szCs w:val="18"/>
        </w:rPr>
      </w:pPr>
      <w:r w:rsidRPr="00C56D46">
        <w:rPr>
          <w:rStyle w:val="Appelnotedebasdep"/>
          <w:rFonts w:ascii="Times New Roman" w:hAnsi="Times New Roman" w:cs="Times New Roman"/>
          <w:sz w:val="18"/>
          <w:szCs w:val="18"/>
        </w:rPr>
        <w:footnoteRef/>
      </w:r>
      <w:r w:rsidRPr="00C56D46">
        <w:rPr>
          <w:rFonts w:ascii="Times New Roman" w:hAnsi="Times New Roman" w:cs="Times New Roman"/>
          <w:sz w:val="18"/>
          <w:szCs w:val="18"/>
        </w:rPr>
        <w:t xml:space="preserve"> Cible </w:t>
      </w:r>
      <w:r w:rsidRPr="00C56D46">
        <w:rPr>
          <w:rFonts w:ascii="Times New Roman" w:hAnsi="Times New Roman" w:cs="Times New Roman"/>
          <w:color w:val="000000"/>
          <w:sz w:val="18"/>
          <w:szCs w:val="18"/>
        </w:rPr>
        <w:t>11.6 : D’ici à 2030, réduire l’impact environnemental négatif des villes par habitant, y compris en accordant une attention particulière à la qualité de l’air et à la gestion, notamment municipale, des déchets.</w:t>
      </w:r>
    </w:p>
  </w:footnote>
  <w:footnote w:id="104">
    <w:p w14:paraId="1E5DA400" w14:textId="77777777" w:rsidR="00E02FE2" w:rsidRPr="00C56D46" w:rsidRDefault="00E02FE2" w:rsidP="0028280C">
      <w:pPr>
        <w:pStyle w:val="Notedebasdepage"/>
        <w:jc w:val="both"/>
        <w:rPr>
          <w:rFonts w:ascii="Times New Roman" w:hAnsi="Times New Roman" w:cs="Times New Roman"/>
          <w:sz w:val="18"/>
          <w:szCs w:val="18"/>
        </w:rPr>
      </w:pPr>
      <w:r w:rsidRPr="00C56D46">
        <w:rPr>
          <w:rStyle w:val="Appelnotedebasdep"/>
          <w:rFonts w:ascii="Times New Roman" w:hAnsi="Times New Roman" w:cs="Times New Roman"/>
          <w:sz w:val="18"/>
          <w:szCs w:val="18"/>
        </w:rPr>
        <w:footnoteRef/>
      </w:r>
      <w:r w:rsidRPr="00C56D46">
        <w:rPr>
          <w:rFonts w:ascii="Times New Roman" w:hAnsi="Times New Roman" w:cs="Times New Roman"/>
          <w:sz w:val="18"/>
          <w:szCs w:val="18"/>
        </w:rPr>
        <w:t xml:space="preserve"> RNV ODD 2020.</w:t>
      </w:r>
    </w:p>
  </w:footnote>
  <w:footnote w:id="105">
    <w:p w14:paraId="09695CD5" w14:textId="77777777" w:rsidR="00E02FE2" w:rsidRPr="00C56D46" w:rsidRDefault="00E02FE2" w:rsidP="0028280C">
      <w:pPr>
        <w:pStyle w:val="Notedebasdepage"/>
        <w:jc w:val="both"/>
        <w:rPr>
          <w:rFonts w:ascii="Times New Roman" w:hAnsi="Times New Roman" w:cs="Times New Roman"/>
          <w:sz w:val="18"/>
          <w:szCs w:val="18"/>
        </w:rPr>
      </w:pPr>
      <w:r w:rsidRPr="00C56D46">
        <w:rPr>
          <w:rStyle w:val="Appelnotedebasdep"/>
          <w:rFonts w:ascii="Times New Roman" w:hAnsi="Times New Roman" w:cs="Times New Roman"/>
          <w:sz w:val="18"/>
          <w:szCs w:val="18"/>
        </w:rPr>
        <w:footnoteRef/>
      </w:r>
      <w:r w:rsidRPr="00C56D46">
        <w:rPr>
          <w:rFonts w:ascii="Times New Roman" w:hAnsi="Times New Roman" w:cs="Times New Roman"/>
          <w:sz w:val="18"/>
          <w:szCs w:val="18"/>
        </w:rPr>
        <w:t xml:space="preserve"> Atelier du 19 aout 2021 du Groupe de travail sur la thématique « Modernisation du monde rural et changement climatique.</w:t>
      </w:r>
    </w:p>
  </w:footnote>
  <w:footnote w:id="106">
    <w:p w14:paraId="2A1B2023" w14:textId="77777777" w:rsidR="00E02FE2" w:rsidRPr="00C56D46" w:rsidRDefault="00E02FE2" w:rsidP="0028280C">
      <w:pPr>
        <w:pStyle w:val="Notedebasdepage"/>
        <w:jc w:val="both"/>
        <w:rPr>
          <w:rFonts w:ascii="Times New Roman" w:hAnsi="Times New Roman" w:cs="Times New Roman"/>
          <w:sz w:val="18"/>
          <w:szCs w:val="18"/>
        </w:rPr>
      </w:pPr>
      <w:r w:rsidRPr="00C56D46">
        <w:rPr>
          <w:rStyle w:val="Appelnotedebasdep"/>
          <w:rFonts w:ascii="Times New Roman" w:hAnsi="Times New Roman" w:cs="Times New Roman"/>
          <w:sz w:val="18"/>
          <w:szCs w:val="18"/>
        </w:rPr>
        <w:footnoteRef/>
      </w:r>
      <w:r w:rsidRPr="00C56D46">
        <w:rPr>
          <w:rFonts w:ascii="Times New Roman" w:hAnsi="Times New Roman" w:cs="Times New Roman"/>
          <w:sz w:val="18"/>
          <w:szCs w:val="18"/>
        </w:rPr>
        <w:t xml:space="preserve"> Cible 11.a : Favoriser l’établissement de liens économiques, sociaux et environnementaux positifs entre zones urbaines, périurbaines et rurales en renforçant la planification du développement à l’échelle nationale et régionale</w:t>
      </w:r>
    </w:p>
  </w:footnote>
  <w:footnote w:id="107">
    <w:p w14:paraId="6DACA080" w14:textId="77777777" w:rsidR="00E02FE2" w:rsidRPr="00C56D46" w:rsidRDefault="00E02FE2" w:rsidP="0028280C">
      <w:pPr>
        <w:pStyle w:val="Notedebasdepage"/>
        <w:jc w:val="both"/>
        <w:rPr>
          <w:rFonts w:ascii="Times New Roman" w:hAnsi="Times New Roman" w:cs="Times New Roman"/>
          <w:sz w:val="18"/>
          <w:szCs w:val="18"/>
        </w:rPr>
      </w:pPr>
      <w:r w:rsidRPr="00C56D46">
        <w:rPr>
          <w:rStyle w:val="Appelnotedebasdep"/>
          <w:rFonts w:ascii="Times New Roman" w:hAnsi="Times New Roman" w:cs="Times New Roman"/>
          <w:sz w:val="18"/>
          <w:szCs w:val="18"/>
        </w:rPr>
        <w:footnoteRef/>
      </w:r>
      <w:r w:rsidRPr="00C56D46">
        <w:rPr>
          <w:rFonts w:ascii="Times New Roman" w:hAnsi="Times New Roman" w:cs="Times New Roman"/>
          <w:sz w:val="18"/>
          <w:szCs w:val="18"/>
        </w:rPr>
        <w:t xml:space="preserve"> RNV ODD 2020.</w:t>
      </w:r>
    </w:p>
  </w:footnote>
  <w:footnote w:id="108">
    <w:p w14:paraId="12963AC6" w14:textId="77777777" w:rsidR="00E02FE2" w:rsidRPr="00C56D46" w:rsidRDefault="00E02FE2" w:rsidP="0028280C">
      <w:pPr>
        <w:pStyle w:val="Notedebasdepage"/>
        <w:jc w:val="both"/>
        <w:rPr>
          <w:rFonts w:ascii="Times New Roman" w:hAnsi="Times New Roman" w:cs="Times New Roman"/>
          <w:sz w:val="18"/>
          <w:szCs w:val="18"/>
        </w:rPr>
      </w:pPr>
      <w:r w:rsidRPr="00C56D46">
        <w:rPr>
          <w:rStyle w:val="Appelnotedebasdep"/>
          <w:rFonts w:ascii="Times New Roman" w:hAnsi="Times New Roman" w:cs="Times New Roman"/>
          <w:sz w:val="18"/>
          <w:szCs w:val="18"/>
        </w:rPr>
        <w:footnoteRef/>
      </w:r>
      <w:r w:rsidRPr="00C56D46">
        <w:rPr>
          <w:rFonts w:ascii="Times New Roman" w:hAnsi="Times New Roman" w:cs="Times New Roman"/>
          <w:sz w:val="18"/>
          <w:szCs w:val="18"/>
        </w:rPr>
        <w:t xml:space="preserve"> Cible 11. b : D’ici à 2020, accroître nettement le nombre de Villes et d’établissements humains qui adoptent et mettent en œuvre des politiques et plans d’action intégrés en faveur de l’insertion de tous, de l’utilisation rationnelle des ressources, de l’adaptation aux effets des changements climatiques et de leur atténuation et de la résilience face aux catastrophes, et élaborer et mettre en œuvre, conformément au Cadre de Sendai pour la réduction des risques de catastrophe (2015-2030), une gestion globale des risques de catastrophe à tous les niveaux.</w:t>
      </w:r>
    </w:p>
  </w:footnote>
  <w:footnote w:id="109">
    <w:p w14:paraId="2859838A" w14:textId="77777777" w:rsidR="00E02FE2" w:rsidRPr="00C56D46" w:rsidRDefault="00E02FE2" w:rsidP="0028280C">
      <w:pPr>
        <w:spacing w:after="0" w:line="240" w:lineRule="auto"/>
        <w:jc w:val="both"/>
        <w:rPr>
          <w:rFonts w:ascii="Times New Roman" w:hAnsi="Times New Roman" w:cs="Times New Roman"/>
          <w:sz w:val="18"/>
          <w:szCs w:val="18"/>
        </w:rPr>
      </w:pPr>
      <w:r w:rsidRPr="00C56D46">
        <w:rPr>
          <w:rStyle w:val="Appelnotedebasdep"/>
          <w:rFonts w:ascii="Times New Roman" w:hAnsi="Times New Roman" w:cs="Times New Roman"/>
          <w:sz w:val="18"/>
          <w:szCs w:val="18"/>
        </w:rPr>
        <w:footnoteRef/>
      </w:r>
      <w:bookmarkStart w:id="341" w:name="_Hlk81155682"/>
      <w:r w:rsidRPr="00C56D46">
        <w:rPr>
          <w:rFonts w:ascii="Times New Roman" w:hAnsi="Times New Roman" w:cs="Times New Roman"/>
          <w:bCs/>
          <w:sz w:val="18"/>
          <w:szCs w:val="18"/>
        </w:rPr>
        <w:t xml:space="preserve">Ministère de l'Action Humanitaire et de la Gestion des Catastrophes, </w:t>
      </w:r>
      <w:r w:rsidRPr="00C56D46">
        <w:rPr>
          <w:rFonts w:ascii="Times New Roman" w:hAnsi="Times New Roman" w:cs="Times New Roman"/>
          <w:sz w:val="18"/>
          <w:szCs w:val="18"/>
        </w:rPr>
        <w:t>Avant-projet de politique nationale de l’action humanitaire et de la gestion des catastrophes, Août 2018.</w:t>
      </w:r>
      <w:bookmarkEnd w:id="341"/>
    </w:p>
  </w:footnote>
  <w:footnote w:id="110">
    <w:p w14:paraId="0D181529" w14:textId="77777777" w:rsidR="00E02FE2" w:rsidRPr="00C56D46" w:rsidRDefault="00E02FE2" w:rsidP="0028280C">
      <w:pPr>
        <w:pStyle w:val="Notedebasdepage"/>
        <w:jc w:val="both"/>
        <w:rPr>
          <w:rFonts w:ascii="Times New Roman" w:hAnsi="Times New Roman" w:cs="Times New Roman"/>
          <w:sz w:val="18"/>
          <w:szCs w:val="18"/>
        </w:rPr>
      </w:pPr>
      <w:r w:rsidRPr="00C56D46">
        <w:rPr>
          <w:rStyle w:val="Appelnotedebasdep"/>
          <w:rFonts w:ascii="Times New Roman" w:hAnsi="Times New Roman" w:cs="Times New Roman"/>
          <w:sz w:val="18"/>
          <w:szCs w:val="18"/>
        </w:rPr>
        <w:footnoteRef/>
      </w:r>
      <w:r w:rsidRPr="00C56D46">
        <w:rPr>
          <w:rFonts w:ascii="Times New Roman" w:hAnsi="Times New Roman" w:cs="Times New Roman"/>
          <w:sz w:val="18"/>
          <w:szCs w:val="18"/>
        </w:rPr>
        <w:t xml:space="preserve"> </w:t>
      </w:r>
      <w:r w:rsidRPr="00C56D46">
        <w:rPr>
          <w:rFonts w:ascii="Times New Roman" w:hAnsi="Times New Roman" w:cs="Times New Roman"/>
          <w:bCs/>
          <w:sz w:val="18"/>
          <w:szCs w:val="18"/>
        </w:rPr>
        <w:t xml:space="preserve">Ministère de l'Action Humanitaire et de la Gestion des Catastrophes, </w:t>
      </w:r>
      <w:r w:rsidRPr="00C56D46">
        <w:rPr>
          <w:rFonts w:ascii="Times New Roman" w:hAnsi="Times New Roman" w:cs="Times New Roman"/>
          <w:sz w:val="18"/>
          <w:szCs w:val="18"/>
        </w:rPr>
        <w:t>Avant-projet de politique nationale de l’action humanitaire et de la gestion des catastrophes, Août 2018.</w:t>
      </w:r>
    </w:p>
  </w:footnote>
  <w:footnote w:id="111">
    <w:p w14:paraId="6FF07911" w14:textId="77777777" w:rsidR="00E02FE2" w:rsidRPr="0059055C" w:rsidRDefault="00E02FE2" w:rsidP="0028280C">
      <w:pPr>
        <w:pStyle w:val="Notedebasdepage"/>
        <w:jc w:val="both"/>
        <w:rPr>
          <w:rFonts w:cs="Times New Roman"/>
          <w:sz w:val="16"/>
          <w:szCs w:val="16"/>
        </w:rPr>
      </w:pPr>
      <w:r w:rsidRPr="0059055C">
        <w:rPr>
          <w:rStyle w:val="Appelnotedebasdep"/>
          <w:rFonts w:cs="Times New Roman"/>
          <w:sz w:val="16"/>
          <w:szCs w:val="16"/>
        </w:rPr>
        <w:footnoteRef/>
      </w:r>
      <w:r w:rsidRPr="0059055C">
        <w:rPr>
          <w:rFonts w:cs="Times New Roman"/>
          <w:sz w:val="16"/>
          <w:szCs w:val="16"/>
        </w:rPr>
        <w:t>Cible 11.c</w:t>
      </w:r>
      <w:r w:rsidRPr="0059055C">
        <w:rPr>
          <w:rFonts w:cs="Times New Roman"/>
          <w:b/>
          <w:bCs/>
          <w:sz w:val="16"/>
          <w:szCs w:val="16"/>
        </w:rPr>
        <w:t xml:space="preserve"> : </w:t>
      </w:r>
      <w:r w:rsidRPr="0059055C">
        <w:rPr>
          <w:rFonts w:cs="Times New Roman"/>
          <w:sz w:val="16"/>
          <w:szCs w:val="16"/>
        </w:rPr>
        <w:t>Aider les pays les moins avancés, y compris par une assistance financière et technique, à construire des bâtiments durables et résilients en utilisant des matériaux locaux</w:t>
      </w:r>
    </w:p>
  </w:footnote>
  <w:footnote w:id="112">
    <w:p w14:paraId="61A5E705" w14:textId="4082514A" w:rsidR="00E02FE2" w:rsidRPr="00C77A02" w:rsidRDefault="00E02FE2" w:rsidP="00C77A02">
      <w:pPr>
        <w:pStyle w:val="Notedebasdepage"/>
        <w:jc w:val="both"/>
        <w:rPr>
          <w:rFonts w:ascii="Times New Roman" w:hAnsi="Times New Roman" w:cs="Times New Roman"/>
        </w:rPr>
      </w:pPr>
      <w:r>
        <w:rPr>
          <w:rStyle w:val="Appelnotedebasdep"/>
        </w:rPr>
        <w:footnoteRef/>
      </w:r>
      <w:r>
        <w:t xml:space="preserve"> </w:t>
      </w:r>
      <w:r w:rsidRPr="002F7EC7">
        <w:rPr>
          <w:rFonts w:ascii="Times New Roman" w:hAnsi="Times New Roman" w:cs="Times New Roman"/>
        </w:rPr>
        <w:t xml:space="preserve">Voir: </w:t>
      </w:r>
      <w:hyperlink r:id="rId3" w:history="1">
        <w:r w:rsidRPr="002F7EC7">
          <w:rPr>
            <w:rStyle w:val="Lienhypertexte"/>
            <w:rFonts w:ascii="Times New Roman" w:hAnsi="Times New Roman" w:cs="Times New Roman"/>
          </w:rPr>
          <w:t>https://stats.oecd.org/viewhtml.aspx?datasetcode=REVNER&amp;lang=fr</w:t>
        </w:r>
      </w:hyperlink>
      <w:r>
        <w:rPr>
          <w:rFonts w:ascii="Times New Roman" w:hAnsi="Times New Roman" w:cs="Times New Roman"/>
        </w:rPr>
        <w:t xml:space="preserve"> </w:t>
      </w:r>
    </w:p>
  </w:footnote>
  <w:footnote w:id="113">
    <w:p w14:paraId="7306540C" w14:textId="77777777" w:rsidR="00E02FE2" w:rsidRPr="00614CA0" w:rsidRDefault="00E02FE2" w:rsidP="0028280C">
      <w:pPr>
        <w:pStyle w:val="Notedebasdepage"/>
        <w:jc w:val="both"/>
        <w:rPr>
          <w:rFonts w:ascii="Times New Roman" w:hAnsi="Times New Roman" w:cs="Times New Roman"/>
        </w:rPr>
      </w:pPr>
      <w:r>
        <w:rPr>
          <w:rStyle w:val="Appelnotedebasdep"/>
        </w:rPr>
        <w:footnoteRef/>
      </w:r>
      <w:r>
        <w:t xml:space="preserve"> </w:t>
      </w:r>
      <w:r w:rsidRPr="002F7EC7">
        <w:rPr>
          <w:rFonts w:ascii="Times New Roman" w:hAnsi="Times New Roman" w:cs="Times New Roman"/>
        </w:rPr>
        <w:t>Voir : https://www.oecd.org/tax/tax-policy/revenue-statistics-africa-nig</w:t>
      </w:r>
      <w:r>
        <w:rPr>
          <w:rFonts w:ascii="Times New Roman" w:hAnsi="Times New Roman" w:cs="Times New Roman"/>
        </w:rPr>
        <w:t xml:space="preserve">er.pdf </w:t>
      </w:r>
    </w:p>
  </w:footnote>
  <w:footnote w:id="114">
    <w:p w14:paraId="54D35176" w14:textId="77777777" w:rsidR="00E02FE2" w:rsidRPr="00614CA0" w:rsidRDefault="00E02FE2" w:rsidP="0028280C">
      <w:pPr>
        <w:pStyle w:val="Notedebasdepage"/>
      </w:pPr>
      <w:r>
        <w:rPr>
          <w:rStyle w:val="Appelnotedebasdep"/>
        </w:rPr>
        <w:footnoteRef/>
      </w:r>
      <w:r>
        <w:t xml:space="preserve"> Voir: </w:t>
      </w:r>
      <w:hyperlink r:id="rId4" w:history="1">
        <w:r w:rsidRPr="001308D7">
          <w:rPr>
            <w:rStyle w:val="Lienhypertexte"/>
          </w:rPr>
          <w:t>https://www.statista.com/statistics/448632/niger-budget-balance-in-relation-to-gdp/</w:t>
        </w:r>
      </w:hyperlink>
      <w:r w:rsidRPr="00614CA0">
        <w:t xml:space="preserve"> </w:t>
      </w:r>
    </w:p>
  </w:footnote>
  <w:footnote w:id="115">
    <w:p w14:paraId="49E8F482" w14:textId="77777777" w:rsidR="00E02FE2" w:rsidRPr="001308D7" w:rsidRDefault="00E02FE2" w:rsidP="0028280C">
      <w:pPr>
        <w:pStyle w:val="Notedebasdepage"/>
      </w:pPr>
      <w:r>
        <w:rPr>
          <w:rStyle w:val="Appelnotedebasdep"/>
        </w:rPr>
        <w:footnoteRef/>
      </w:r>
      <w:r>
        <w:t xml:space="preserve"> Voir: </w:t>
      </w:r>
      <w:hyperlink r:id="rId5" w:history="1">
        <w:r w:rsidRPr="001308D7">
          <w:rPr>
            <w:rStyle w:val="Lienhypertexte"/>
          </w:rPr>
          <w:t>https://data.worldbank.org/indicator/BX.KLT.DINV.WD.GD.ZS?locations=NE</w:t>
        </w:r>
      </w:hyperlink>
      <w:r w:rsidRPr="001308D7">
        <w:t xml:space="preserve"> </w:t>
      </w:r>
    </w:p>
  </w:footnote>
  <w:footnote w:id="116">
    <w:p w14:paraId="08F8F480" w14:textId="77777777" w:rsidR="00E02FE2" w:rsidRPr="001308D7" w:rsidRDefault="00E02FE2" w:rsidP="0028280C">
      <w:pPr>
        <w:pStyle w:val="Notedebasdepage"/>
      </w:pPr>
      <w:r>
        <w:rPr>
          <w:rStyle w:val="Appelnotedebasdep"/>
        </w:rPr>
        <w:footnoteRef/>
      </w:r>
      <w:r>
        <w:t xml:space="preserve"> Voir: </w:t>
      </w:r>
      <w:hyperlink r:id="rId6" w:history="1">
        <w:r w:rsidRPr="001308D7">
          <w:rPr>
            <w:rStyle w:val="Lienhypertexte"/>
          </w:rPr>
          <w:t>https://unctad.org/system/files/official-document/wir2020_en.pdf</w:t>
        </w:r>
      </w:hyperlink>
      <w:r w:rsidRPr="001308D7">
        <w:t xml:space="preserve"> </w:t>
      </w:r>
    </w:p>
  </w:footnote>
  <w:footnote w:id="117">
    <w:p w14:paraId="51C87ABC" w14:textId="77777777" w:rsidR="00E02FE2" w:rsidRPr="0058697B" w:rsidRDefault="00E02FE2" w:rsidP="0028280C">
      <w:pPr>
        <w:pStyle w:val="Notedebasdepage"/>
        <w:jc w:val="both"/>
        <w:rPr>
          <w:rFonts w:ascii="Times New Roman" w:hAnsi="Times New Roman" w:cs="Times New Roman"/>
        </w:rPr>
      </w:pPr>
      <w:r>
        <w:rPr>
          <w:rStyle w:val="Appelnotedebasdep"/>
        </w:rPr>
        <w:footnoteRef/>
      </w:r>
      <w:r>
        <w:t xml:space="preserve"> </w:t>
      </w:r>
      <w:r w:rsidRPr="0058697B">
        <w:rPr>
          <w:rFonts w:ascii="Times New Roman" w:hAnsi="Times New Roman" w:cs="Times New Roman"/>
        </w:rPr>
        <w:t xml:space="preserve">Voir: </w:t>
      </w:r>
      <w:hyperlink r:id="rId7" w:history="1">
        <w:r w:rsidRPr="0058697B">
          <w:rPr>
            <w:rStyle w:val="Lienhypertexte"/>
            <w:rFonts w:ascii="Times New Roman" w:hAnsi="Times New Roman" w:cs="Times New Roman"/>
          </w:rPr>
          <w:t>https://www.worldbank.org/en/topic/debt/brief/covid-19-debt-service-suspension-initiative</w:t>
        </w:r>
      </w:hyperlink>
      <w:r w:rsidRPr="0058697B">
        <w:rPr>
          <w:rFonts w:ascii="Times New Roman" w:hAnsi="Times New Roman" w:cs="Times New Roman"/>
        </w:rPr>
        <w:t xml:space="preserve"> </w:t>
      </w:r>
    </w:p>
  </w:footnote>
  <w:footnote w:id="118">
    <w:p w14:paraId="13196CE5" w14:textId="77777777" w:rsidR="00E02FE2" w:rsidRPr="0058697B" w:rsidRDefault="00E02FE2" w:rsidP="0028280C">
      <w:pPr>
        <w:pStyle w:val="Notedebasdepage"/>
        <w:jc w:val="both"/>
        <w:rPr>
          <w:rFonts w:ascii="Times New Roman" w:hAnsi="Times New Roman" w:cs="Times New Roman"/>
        </w:rPr>
      </w:pPr>
      <w:r w:rsidRPr="0058697B">
        <w:rPr>
          <w:rStyle w:val="Appelnotedebasdep"/>
          <w:rFonts w:ascii="Times New Roman" w:hAnsi="Times New Roman" w:cs="Times New Roman"/>
        </w:rPr>
        <w:footnoteRef/>
      </w:r>
      <w:r w:rsidRPr="0058697B">
        <w:rPr>
          <w:rFonts w:ascii="Times New Roman" w:hAnsi="Times New Roman" w:cs="Times New Roman"/>
        </w:rPr>
        <w:t xml:space="preserve"> Voir: </w:t>
      </w:r>
      <w:hyperlink r:id="rId8" w:history="1">
        <w:r w:rsidRPr="0058697B">
          <w:rPr>
            <w:rStyle w:val="Lienhypertexte"/>
            <w:rFonts w:ascii="Times New Roman" w:hAnsi="Times New Roman" w:cs="Times New Roman"/>
          </w:rPr>
          <w:t>https://www.imf.org/en/Publications/CR/Issues/2016/12/30/Niger-Enhanced-Initiative-for-Heavily-Indebted-Poor-Countries-Completion-Point-Document-17452</w:t>
        </w:r>
      </w:hyperlink>
      <w:r w:rsidRPr="0058697B">
        <w:rPr>
          <w:rFonts w:ascii="Times New Roman" w:hAnsi="Times New Roman" w:cs="Times New Roman"/>
        </w:rPr>
        <w:t xml:space="preserve"> </w:t>
      </w:r>
    </w:p>
  </w:footnote>
  <w:footnote w:id="119">
    <w:p w14:paraId="51734490" w14:textId="77777777" w:rsidR="00E02FE2" w:rsidRPr="0058697B" w:rsidRDefault="00E02FE2" w:rsidP="0028280C">
      <w:pPr>
        <w:pStyle w:val="Notedebasdepage"/>
        <w:jc w:val="both"/>
        <w:rPr>
          <w:rFonts w:ascii="Times New Roman" w:hAnsi="Times New Roman" w:cs="Times New Roman"/>
        </w:rPr>
      </w:pPr>
      <w:r w:rsidRPr="0058697B">
        <w:rPr>
          <w:rStyle w:val="Appelnotedebasdep"/>
          <w:rFonts w:ascii="Times New Roman" w:hAnsi="Times New Roman" w:cs="Times New Roman"/>
        </w:rPr>
        <w:footnoteRef/>
      </w:r>
      <w:r w:rsidRPr="0058697B">
        <w:rPr>
          <w:rFonts w:ascii="Times New Roman" w:hAnsi="Times New Roman" w:cs="Times New Roman"/>
        </w:rPr>
        <w:t xml:space="preserve"> Voir: </w:t>
      </w:r>
      <w:hyperlink r:id="rId9" w:history="1">
        <w:r w:rsidRPr="0058697B">
          <w:rPr>
            <w:rStyle w:val="Lienhypertexte"/>
            <w:rFonts w:ascii="Times New Roman" w:hAnsi="Times New Roman" w:cs="Times New Roman"/>
          </w:rPr>
          <w:t>https://www.imf.org/external/np/fin/tad/extrans2.aspx?memberKey1=730&amp;valueDate=2020&amp;yearType=C&amp;acctType1=GRASDA&amp;extrans_flag=Y</w:t>
        </w:r>
      </w:hyperlink>
      <w:r w:rsidRPr="0058697B">
        <w:rPr>
          <w:rFonts w:ascii="Times New Roman" w:hAnsi="Times New Roman" w:cs="Times New Roman"/>
        </w:rPr>
        <w:t xml:space="preserve"> </w:t>
      </w:r>
    </w:p>
  </w:footnote>
  <w:footnote w:id="120">
    <w:p w14:paraId="4E1A2B11" w14:textId="77777777" w:rsidR="00E02FE2" w:rsidRPr="0058697B" w:rsidRDefault="00E02FE2" w:rsidP="0028280C">
      <w:pPr>
        <w:pStyle w:val="Notedebasdepage"/>
        <w:jc w:val="both"/>
        <w:rPr>
          <w:rFonts w:ascii="Times New Roman" w:hAnsi="Times New Roman" w:cs="Times New Roman"/>
        </w:rPr>
      </w:pPr>
      <w:r w:rsidRPr="0058697B">
        <w:rPr>
          <w:rStyle w:val="Appelnotedebasdep"/>
          <w:rFonts w:ascii="Times New Roman" w:hAnsi="Times New Roman" w:cs="Times New Roman"/>
        </w:rPr>
        <w:footnoteRef/>
      </w:r>
      <w:r w:rsidRPr="0058697B">
        <w:rPr>
          <w:rFonts w:ascii="Times New Roman" w:hAnsi="Times New Roman" w:cs="Times New Roman"/>
        </w:rPr>
        <w:t xml:space="preserve"> Voir: </w:t>
      </w:r>
      <w:hyperlink r:id="rId10" w:history="1">
        <w:r w:rsidRPr="0058697B">
          <w:rPr>
            <w:rStyle w:val="Lienhypertexte"/>
            <w:rFonts w:ascii="Times New Roman" w:hAnsi="Times New Roman" w:cs="Times New Roman"/>
          </w:rPr>
          <w:t>https://data.worldbank.org/indicator/DT.TDS.DECT.EX.ZS?locations=NE</w:t>
        </w:r>
      </w:hyperlink>
      <w:r w:rsidRPr="0058697B">
        <w:rPr>
          <w:rFonts w:ascii="Times New Roman" w:hAnsi="Times New Roman" w:cs="Times New Roman"/>
        </w:rPr>
        <w:t xml:space="preserve"> </w:t>
      </w:r>
    </w:p>
  </w:footnote>
  <w:footnote w:id="121">
    <w:p w14:paraId="5CF31473" w14:textId="77777777" w:rsidR="00E02FE2" w:rsidRPr="00FC6DD5" w:rsidRDefault="00E02FE2" w:rsidP="0028280C">
      <w:pPr>
        <w:pStyle w:val="Notedebasdepage"/>
        <w:jc w:val="both"/>
      </w:pPr>
      <w:r w:rsidRPr="0058697B">
        <w:rPr>
          <w:rStyle w:val="Appelnotedebasdep"/>
          <w:rFonts w:ascii="Times New Roman" w:hAnsi="Times New Roman" w:cs="Times New Roman"/>
        </w:rPr>
        <w:footnoteRef/>
      </w:r>
      <w:r w:rsidRPr="0058697B">
        <w:rPr>
          <w:rFonts w:ascii="Times New Roman" w:hAnsi="Times New Roman" w:cs="Times New Roman"/>
        </w:rPr>
        <w:t xml:space="preserve"> Voir: </w:t>
      </w:r>
      <w:hyperlink r:id="rId11" w:history="1">
        <w:r w:rsidRPr="0058697B">
          <w:rPr>
            <w:rStyle w:val="Lienhypertexte"/>
            <w:rFonts w:ascii="Times New Roman" w:hAnsi="Times New Roman" w:cs="Times New Roman"/>
          </w:rPr>
          <w:t>https://datatopics.worldbank.org/debt/ids/</w:t>
        </w:r>
      </w:hyperlink>
      <w:r w:rsidRPr="00FC6DD5">
        <w:t xml:space="preserve"> </w:t>
      </w:r>
    </w:p>
  </w:footnote>
  <w:footnote w:id="122">
    <w:p w14:paraId="7464617B" w14:textId="77777777" w:rsidR="00E02FE2" w:rsidRPr="00BF4CDD" w:rsidRDefault="00E02FE2" w:rsidP="0028280C">
      <w:pPr>
        <w:pStyle w:val="Notedebasdepage"/>
        <w:jc w:val="both"/>
        <w:rPr>
          <w:rFonts w:ascii="Times New Roman" w:hAnsi="Times New Roman" w:cs="Times New Roman"/>
        </w:rPr>
      </w:pPr>
      <w:r>
        <w:rPr>
          <w:rStyle w:val="Appelnotedebasdep"/>
        </w:rPr>
        <w:footnoteRef/>
      </w:r>
      <w:r>
        <w:t xml:space="preserve"> </w:t>
      </w:r>
      <w:r w:rsidRPr="00BF4CDD">
        <w:rPr>
          <w:rFonts w:ascii="Times New Roman" w:hAnsi="Times New Roman" w:cs="Times New Roman"/>
        </w:rPr>
        <w:t>CAT (adhésion le 5 octobre 1998) ; PICDP (adhésion le 7 mars 1986) ; CED (ratifiée le 24 juillet 2015) ; CEDEF (adhésion 8 octobre 1999) ; CERD (ratifiée le 27 avril 1967) ; PIDESC (adhésion le 7 mars 1986) ; CMW (adhésion le 18 mars 2009) ; CDE (ratifiée le 30 septembre 1990) ; CDPH (ratifiée le 24 juin 2008)</w:t>
      </w:r>
    </w:p>
  </w:footnote>
  <w:footnote w:id="123">
    <w:p w14:paraId="49FCA67E" w14:textId="77777777" w:rsidR="00E02FE2" w:rsidRPr="00B46D75" w:rsidRDefault="00E02FE2" w:rsidP="0028280C">
      <w:pPr>
        <w:pStyle w:val="Notedebasdepage"/>
      </w:pPr>
      <w:r>
        <w:rPr>
          <w:rStyle w:val="Appelnotedebasdep"/>
        </w:rPr>
        <w:footnoteRef/>
      </w:r>
      <w:r>
        <w:t xml:space="preserve"> </w:t>
      </w:r>
      <w:r w:rsidRPr="00B46D75">
        <w:t xml:space="preserve">Voir </w:t>
      </w:r>
      <w:hyperlink r:id="rId12" w:history="1">
        <w:r w:rsidRPr="00B46D75">
          <w:rPr>
            <w:rStyle w:val="Lienhypertexte"/>
          </w:rPr>
          <w:t>observations faites par l’ONG CIVICUS</w:t>
        </w:r>
      </w:hyperlink>
      <w:r w:rsidRPr="00B46D75">
        <w:t xml:space="preserve"> à l’occasion de l’Examen Périodique Universel du Niger, Octobre 2021, </w:t>
      </w:r>
      <w:hyperlink r:id="rId13" w:history="1">
        <w:r>
          <w:rPr>
            <w:rStyle w:val="Lienhypertexte"/>
          </w:rPr>
          <w:t xml:space="preserve"> (civicus.org)</w:t>
        </w:r>
      </w:hyperlink>
      <w:r>
        <w:t xml:space="preserve"> </w:t>
      </w:r>
    </w:p>
  </w:footnote>
  <w:footnote w:id="124">
    <w:p w14:paraId="7C8BFE85" w14:textId="77777777" w:rsidR="00E02FE2" w:rsidRPr="00BF4CDD" w:rsidRDefault="00E02FE2" w:rsidP="0028280C">
      <w:pPr>
        <w:pStyle w:val="Notedebasdepage"/>
        <w:jc w:val="both"/>
        <w:rPr>
          <w:rFonts w:ascii="Times New Roman" w:hAnsi="Times New Roman" w:cs="Times New Roman"/>
        </w:rPr>
      </w:pPr>
      <w:r w:rsidRPr="00BF4CDD">
        <w:rPr>
          <w:rStyle w:val="Appelnotedebasdep"/>
          <w:rFonts w:ascii="Times New Roman" w:hAnsi="Times New Roman" w:cs="Times New Roman"/>
        </w:rPr>
        <w:footnoteRef/>
      </w:r>
      <w:r w:rsidRPr="00BF4CDD">
        <w:rPr>
          <w:rFonts w:ascii="Times New Roman" w:hAnsi="Times New Roman" w:cs="Times New Roman"/>
        </w:rPr>
        <w:t xml:space="preserve"> Rapport sur le Développement Humain 2020</w:t>
      </w:r>
    </w:p>
  </w:footnote>
  <w:footnote w:id="125">
    <w:p w14:paraId="44414474" w14:textId="77777777" w:rsidR="00E02FE2" w:rsidRPr="00172736" w:rsidRDefault="00E02FE2" w:rsidP="003B5F1F">
      <w:pPr>
        <w:pStyle w:val="Notedebasdepage"/>
        <w:jc w:val="both"/>
        <w:rPr>
          <w:rFonts w:ascii="Calibri" w:eastAsia="Calibri" w:hAnsi="Calibri" w:cs="Arial"/>
          <w:sz w:val="16"/>
          <w:lang w:val="fr-CA"/>
        </w:rPr>
      </w:pPr>
      <w:r w:rsidRPr="00172736">
        <w:rPr>
          <w:rStyle w:val="Appelnotedebasdep"/>
          <w:sz w:val="16"/>
        </w:rPr>
        <w:footnoteRef/>
      </w:r>
      <w:r w:rsidRPr="00172736">
        <w:rPr>
          <w:rFonts w:ascii="Calibri" w:eastAsia="Calibri" w:hAnsi="Calibri" w:cs="Arial"/>
          <w:sz w:val="16"/>
          <w:lang w:val="fr-CA"/>
        </w:rPr>
        <w:t xml:space="preserve"> La révision du Code pénal en 2003 a permis de prendre en compte certaines violences faites aux femmes ; notamment le harcèlement sexuel, les mutilations génitales féminines, l’esclavage, le proxénétisme, l’incitation à la débauche et le viol.</w:t>
      </w:r>
    </w:p>
  </w:footnote>
  <w:footnote w:id="126">
    <w:p w14:paraId="16EBE03F" w14:textId="77777777" w:rsidR="00E02FE2" w:rsidRPr="00172736" w:rsidRDefault="00E02FE2" w:rsidP="003B5F1F">
      <w:pPr>
        <w:pStyle w:val="Notedebasdepage"/>
        <w:rPr>
          <w:rFonts w:ascii="Calibri" w:eastAsia="Calibri" w:hAnsi="Calibri" w:cs="Arial"/>
          <w:sz w:val="16"/>
          <w:lang w:val="fr-CA"/>
        </w:rPr>
      </w:pPr>
      <w:r w:rsidRPr="00172736">
        <w:rPr>
          <w:rStyle w:val="Appelnotedebasdep"/>
          <w:rFonts w:ascii="Times New Roman" w:hAnsi="Times New Roman"/>
          <w:sz w:val="16"/>
        </w:rPr>
        <w:footnoteRef/>
      </w:r>
      <w:r w:rsidRPr="00172736">
        <w:rPr>
          <w:rFonts w:ascii="Times New Roman" w:eastAsia="Calibri" w:hAnsi="Times New Roman" w:cs="Arial"/>
          <w:sz w:val="16"/>
          <w:lang w:val="fr-CA"/>
        </w:rPr>
        <w:t xml:space="preserve"> PNG, 2017</w:t>
      </w:r>
    </w:p>
  </w:footnote>
  <w:footnote w:id="127">
    <w:p w14:paraId="13E4A51F" w14:textId="7BCB103B" w:rsidR="00E02FE2" w:rsidRPr="0038699B" w:rsidRDefault="00E02FE2">
      <w:pPr>
        <w:pStyle w:val="Notedebasdepage"/>
      </w:pPr>
      <w:r>
        <w:rPr>
          <w:rStyle w:val="Appelnotedebasdep"/>
        </w:rPr>
        <w:footnoteRef/>
      </w:r>
      <w:r>
        <w:t xml:space="preserve"> </w:t>
      </w:r>
      <w:r w:rsidRPr="00172736">
        <w:rPr>
          <w:rFonts w:ascii="Calibri" w:eastAsia="Calibri" w:hAnsi="Calibri" w:cs="Arial"/>
          <w:sz w:val="16"/>
          <w:lang w:val="fr-CA"/>
        </w:rPr>
        <w:t>Selon les données de l’annuaire statistique du ministère de l’enseignement primaire 2016-2017, seule une fille sur 4 inscrites au primaire atteint la classe de CM2.</w:t>
      </w:r>
    </w:p>
  </w:footnote>
  <w:footnote w:id="128">
    <w:p w14:paraId="02C26AEA" w14:textId="77777777" w:rsidR="00E02FE2" w:rsidRPr="00F9445D" w:rsidRDefault="00E02FE2" w:rsidP="003B5F1F">
      <w:pPr>
        <w:pStyle w:val="Notedebasdepage"/>
        <w:jc w:val="both"/>
        <w:rPr>
          <w:rFonts w:ascii="Calibri" w:eastAsia="Calibri" w:hAnsi="Calibri" w:cs="Arial"/>
          <w:sz w:val="16"/>
          <w:lang w:val="fr-CA"/>
        </w:rPr>
      </w:pPr>
      <w:r>
        <w:rPr>
          <w:rStyle w:val="Appelnotedebasdep"/>
        </w:rPr>
        <w:footnoteRef/>
      </w:r>
      <w:r>
        <w:t xml:space="preserve"> </w:t>
      </w:r>
      <w:r w:rsidRPr="00F9445D">
        <w:rPr>
          <w:rFonts w:ascii="Calibri" w:eastAsia="Calibri" w:hAnsi="Calibri" w:cs="Arial"/>
          <w:sz w:val="16"/>
          <w:lang w:val="fr-CA"/>
        </w:rPr>
        <w:t>Cette inégalité des femmes par rapport aux hommes est mesurée par « l’indice d’inégalité de genre », qui est un indice composite variant de 0 à 1, mesurant le déficit de progrès résultant d’inégalités dans les trois dimensions suivantes du développement humain : santé reproductive (taux de mortalité maternelle et taux de fécondité des adolescentes), autonomisation (% de femmes au parlement et % de femmes ayant suivi un enseignement secondaire ou supérieur) et marché du travail (taux d'activité des femmes dans la population active).</w:t>
      </w:r>
    </w:p>
  </w:footnote>
  <w:footnote w:id="129">
    <w:p w14:paraId="7F4ECA79" w14:textId="77777777" w:rsidR="00E02FE2" w:rsidRPr="00AD3E9D" w:rsidRDefault="00E02FE2" w:rsidP="0028280C">
      <w:pPr>
        <w:pStyle w:val="Notedebasdepage"/>
        <w:rPr>
          <w:sz w:val="18"/>
        </w:rPr>
      </w:pPr>
      <w:r w:rsidRPr="00AD3E9D">
        <w:rPr>
          <w:rStyle w:val="Appelnotedebasdep"/>
          <w:sz w:val="18"/>
        </w:rPr>
        <w:footnoteRef/>
      </w:r>
      <w:r w:rsidRPr="00AD3E9D">
        <w:rPr>
          <w:sz w:val="18"/>
        </w:rPr>
        <w:t xml:space="preserve"> </w:t>
      </w:r>
      <w:r w:rsidRPr="00AD3E9D">
        <w:rPr>
          <w:rFonts w:ascii="Times New Roman" w:eastAsia="Times New Roman" w:hAnsi="Times New Roman" w:cs="Times New Roman"/>
          <w:sz w:val="18"/>
        </w:rPr>
        <w:t>Impacts économiques des inégalités entre les genres au Niger - Banque Mondiale Novembre 2018.</w:t>
      </w:r>
    </w:p>
  </w:footnote>
  <w:footnote w:id="130">
    <w:p w14:paraId="0CBA7567" w14:textId="77777777" w:rsidR="00E02FE2" w:rsidRPr="004B23A5" w:rsidRDefault="00E02FE2" w:rsidP="0028280C">
      <w:pPr>
        <w:spacing w:line="240" w:lineRule="auto"/>
        <w:jc w:val="both"/>
        <w:rPr>
          <w:rFonts w:ascii="Times New Roman" w:eastAsia="Times New Roman" w:hAnsi="Times New Roman" w:cs="Times New Roman"/>
          <w:sz w:val="20"/>
          <w:szCs w:val="20"/>
        </w:rPr>
      </w:pPr>
      <w:r>
        <w:rPr>
          <w:rStyle w:val="Appelnotedebasdep"/>
        </w:rPr>
        <w:footnoteRef/>
      </w:r>
      <w:r w:rsidRPr="004B23A5">
        <w:rPr>
          <w:rFonts w:ascii="Times New Roman" w:hAnsi="Times New Roman" w:cs="Times New Roman"/>
          <w:sz w:val="20"/>
          <w:szCs w:val="20"/>
        </w:rPr>
        <w:t xml:space="preserve">Cf. </w:t>
      </w:r>
      <w:r w:rsidRPr="004B23A5">
        <w:rPr>
          <w:rFonts w:ascii="Times New Roman" w:eastAsia="Times New Roman" w:hAnsi="Times New Roman" w:cs="Times New Roman"/>
          <w:sz w:val="20"/>
          <w:szCs w:val="20"/>
        </w:rPr>
        <w:t>Etude sur l’ampleur et les déterminants des violences basées sur le genre au Niger - Juin 2021.</w:t>
      </w:r>
    </w:p>
    <w:p w14:paraId="6836A431" w14:textId="77777777" w:rsidR="00E02FE2" w:rsidRDefault="00E02FE2" w:rsidP="0028280C">
      <w:pPr>
        <w:pStyle w:val="Notedebasdepage"/>
      </w:pPr>
    </w:p>
    <w:p w14:paraId="2BFBFFCB" w14:textId="77777777" w:rsidR="00E02FE2" w:rsidRDefault="00E02FE2" w:rsidP="0028280C">
      <w:pPr>
        <w:pStyle w:val="Notedebasdepage"/>
      </w:pPr>
    </w:p>
    <w:p w14:paraId="7D90E031" w14:textId="77777777" w:rsidR="00E02FE2" w:rsidRPr="004B23A5" w:rsidRDefault="00E02FE2" w:rsidP="0028280C">
      <w:pPr>
        <w:pStyle w:val="Notedebasdepage"/>
      </w:pPr>
    </w:p>
  </w:footnote>
  <w:footnote w:id="131">
    <w:p w14:paraId="1345D959" w14:textId="77777777" w:rsidR="00E02FE2" w:rsidRPr="002A6F4D" w:rsidRDefault="00E02FE2" w:rsidP="0028280C">
      <w:pPr>
        <w:pStyle w:val="Notedebasdepage"/>
      </w:pPr>
      <w:r>
        <w:rPr>
          <w:rStyle w:val="Appelnotedebasdep"/>
        </w:rPr>
        <w:footnoteRef/>
      </w:r>
      <w:r>
        <w:t xml:space="preserve"> </w:t>
      </w:r>
      <w:r w:rsidRPr="002A6F4D">
        <w:rPr>
          <w:rFonts w:ascii="Times New Roman" w:hAnsi="Times New Roman" w:cs="Times New Roman"/>
        </w:rPr>
        <w:t xml:space="preserve">Cf. Stratégie intégrée des Nations Unies au Sahel </w:t>
      </w:r>
      <w:r>
        <w:rPr>
          <w:rFonts w:ascii="Times New Roman" w:hAnsi="Times New Roman" w:cs="Times New Roman"/>
        </w:rPr>
        <w:t>-</w:t>
      </w:r>
      <w:r w:rsidRPr="002A6F4D">
        <w:rPr>
          <w:rFonts w:ascii="Times New Roman" w:hAnsi="Times New Roman" w:cs="Times New Roman"/>
        </w:rPr>
        <w:t xml:space="preserve"> Rapport de progrès de la mise en œuvre janvier 2020 </w:t>
      </w:r>
      <w:r>
        <w:rPr>
          <w:rFonts w:ascii="Times New Roman" w:hAnsi="Times New Roman" w:cs="Times New Roman"/>
        </w:rPr>
        <w:t>-</w:t>
      </w:r>
      <w:r w:rsidRPr="002A6F4D">
        <w:rPr>
          <w:rFonts w:ascii="Times New Roman" w:hAnsi="Times New Roman" w:cs="Times New Roman"/>
        </w:rPr>
        <w:t xml:space="preserve"> Décembre 2021</w:t>
      </w:r>
    </w:p>
  </w:footnote>
  <w:footnote w:id="132">
    <w:p w14:paraId="79AFF43C" w14:textId="77777777" w:rsidR="00E02FE2" w:rsidRPr="002A6F4D" w:rsidRDefault="00E02FE2" w:rsidP="0028280C">
      <w:pPr>
        <w:pStyle w:val="Notedebasdepage"/>
      </w:pPr>
      <w:r>
        <w:rPr>
          <w:rStyle w:val="Appelnotedebasdep"/>
        </w:rPr>
        <w:footnoteRef/>
      </w:r>
      <w:r>
        <w:t xml:space="preserve"> </w:t>
      </w:r>
      <w:r w:rsidRPr="002A6F4D">
        <w:rPr>
          <w:rFonts w:ascii="Times New Roman" w:hAnsi="Times New Roman" w:cs="Times New Roman"/>
        </w:rPr>
        <w:t xml:space="preserve">Cf. Note de cadrage macroéconomique 2021 - 2025 </w:t>
      </w:r>
      <w:r>
        <w:rPr>
          <w:rFonts w:ascii="Times New Roman" w:hAnsi="Times New Roman" w:cs="Times New Roman"/>
        </w:rPr>
        <w:t>-</w:t>
      </w:r>
      <w:r w:rsidRPr="002A6F4D">
        <w:rPr>
          <w:rFonts w:ascii="Times New Roman" w:hAnsi="Times New Roman" w:cs="Times New Roman"/>
        </w:rPr>
        <w:t xml:space="preserve"> UEMOA </w:t>
      </w:r>
      <w:r>
        <w:rPr>
          <w:rFonts w:ascii="Times New Roman" w:hAnsi="Times New Roman" w:cs="Times New Roman"/>
        </w:rPr>
        <w:t>-</w:t>
      </w:r>
      <w:r w:rsidRPr="002A6F4D">
        <w:rPr>
          <w:rFonts w:ascii="Times New Roman" w:hAnsi="Times New Roman" w:cs="Times New Roman"/>
        </w:rPr>
        <w:t xml:space="preserve"> Mai 2021</w:t>
      </w:r>
    </w:p>
  </w:footnote>
  <w:footnote w:id="133">
    <w:p w14:paraId="6E3997E2" w14:textId="77777777" w:rsidR="00E02FE2" w:rsidRPr="002A6F4D" w:rsidRDefault="00E02FE2" w:rsidP="0028280C">
      <w:pPr>
        <w:pStyle w:val="Notedebasdepage"/>
      </w:pPr>
      <w:r>
        <w:rPr>
          <w:rStyle w:val="Appelnotedebasdep"/>
        </w:rPr>
        <w:footnoteRef/>
      </w:r>
      <w:r>
        <w:t xml:space="preserve"> </w:t>
      </w:r>
      <w:r w:rsidRPr="00425B6E">
        <w:rPr>
          <w:rFonts w:ascii="Times New Roman" w:hAnsi="Times New Roman" w:cs="Times New Roman"/>
        </w:rPr>
        <w:t>Idem Note de cadrage macroéconomique 2021 - 2025 - UEMOA - Mai 2021</w:t>
      </w:r>
    </w:p>
    <w:p w14:paraId="32849D22" w14:textId="77777777" w:rsidR="00E02FE2" w:rsidRPr="00425B6E" w:rsidRDefault="00E02FE2" w:rsidP="0028280C">
      <w:pPr>
        <w:pStyle w:val="Notedebasdepage"/>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0.3pt;height:10.3pt" o:bullet="t">
        <v:imagedata r:id="rId1" o:title="msoC1D1"/>
      </v:shape>
    </w:pict>
  </w:numPicBullet>
  <w:abstractNum w:abstractNumId="0" w15:restartNumberingAfterBreak="0">
    <w:nsid w:val="01070643"/>
    <w:multiLevelType w:val="hybridMultilevel"/>
    <w:tmpl w:val="F3EADD5C"/>
    <w:lvl w:ilvl="0" w:tplc="B19C2720">
      <w:start w:val="1"/>
      <w:numFmt w:val="lowerLetter"/>
      <w:lvlText w:val="%1)"/>
      <w:lvlJc w:val="left"/>
      <w:pPr>
        <w:ind w:left="900" w:hanging="360"/>
      </w:pPr>
      <w:rPr>
        <w:rFonts w:ascii="Bernard MT Condensed" w:hAnsi="Bernard MT Condensed" w:hint="default"/>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2576A1D"/>
    <w:multiLevelType w:val="hybridMultilevel"/>
    <w:tmpl w:val="4DEE0386"/>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 w15:restartNumberingAfterBreak="0">
    <w:nsid w:val="06FA4CD3"/>
    <w:multiLevelType w:val="hybridMultilevel"/>
    <w:tmpl w:val="FD4CCF0C"/>
    <w:lvl w:ilvl="0" w:tplc="8E62B06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72A1900"/>
    <w:multiLevelType w:val="hybridMultilevel"/>
    <w:tmpl w:val="7086369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7E918E8"/>
    <w:multiLevelType w:val="hybridMultilevel"/>
    <w:tmpl w:val="424EFD7E"/>
    <w:lvl w:ilvl="0" w:tplc="8E62B06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C652873"/>
    <w:multiLevelType w:val="hybridMultilevel"/>
    <w:tmpl w:val="FC782B24"/>
    <w:lvl w:ilvl="0" w:tplc="CAD4B3CA">
      <w:start w:val="3"/>
      <w:numFmt w:val="upp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6" w15:restartNumberingAfterBreak="0">
    <w:nsid w:val="13F6727C"/>
    <w:multiLevelType w:val="multilevel"/>
    <w:tmpl w:val="C408F6A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865491"/>
    <w:multiLevelType w:val="hybridMultilevel"/>
    <w:tmpl w:val="EBC80D2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A596D60"/>
    <w:multiLevelType w:val="hybridMultilevel"/>
    <w:tmpl w:val="8BD4AC30"/>
    <w:lvl w:ilvl="0" w:tplc="040C0001">
      <w:start w:val="1"/>
      <w:numFmt w:val="bullet"/>
      <w:lvlText w:val=""/>
      <w:lvlJc w:val="left"/>
      <w:pPr>
        <w:ind w:left="898" w:hanging="360"/>
      </w:pPr>
      <w:rPr>
        <w:rFonts w:ascii="Symbol" w:hAnsi="Symbol" w:hint="default"/>
      </w:rPr>
    </w:lvl>
    <w:lvl w:ilvl="1" w:tplc="040C0003" w:tentative="1">
      <w:start w:val="1"/>
      <w:numFmt w:val="bullet"/>
      <w:lvlText w:val="o"/>
      <w:lvlJc w:val="left"/>
      <w:pPr>
        <w:ind w:left="1618" w:hanging="360"/>
      </w:pPr>
      <w:rPr>
        <w:rFonts w:ascii="Courier New" w:hAnsi="Courier New" w:cs="Courier New" w:hint="default"/>
      </w:rPr>
    </w:lvl>
    <w:lvl w:ilvl="2" w:tplc="040C0005" w:tentative="1">
      <w:start w:val="1"/>
      <w:numFmt w:val="bullet"/>
      <w:lvlText w:val=""/>
      <w:lvlJc w:val="left"/>
      <w:pPr>
        <w:ind w:left="2338" w:hanging="360"/>
      </w:pPr>
      <w:rPr>
        <w:rFonts w:ascii="Wingdings" w:hAnsi="Wingdings" w:hint="default"/>
      </w:rPr>
    </w:lvl>
    <w:lvl w:ilvl="3" w:tplc="040C0001" w:tentative="1">
      <w:start w:val="1"/>
      <w:numFmt w:val="bullet"/>
      <w:lvlText w:val=""/>
      <w:lvlJc w:val="left"/>
      <w:pPr>
        <w:ind w:left="3058" w:hanging="360"/>
      </w:pPr>
      <w:rPr>
        <w:rFonts w:ascii="Symbol" w:hAnsi="Symbol" w:hint="default"/>
      </w:rPr>
    </w:lvl>
    <w:lvl w:ilvl="4" w:tplc="040C0003" w:tentative="1">
      <w:start w:val="1"/>
      <w:numFmt w:val="bullet"/>
      <w:lvlText w:val="o"/>
      <w:lvlJc w:val="left"/>
      <w:pPr>
        <w:ind w:left="3778" w:hanging="360"/>
      </w:pPr>
      <w:rPr>
        <w:rFonts w:ascii="Courier New" w:hAnsi="Courier New" w:cs="Courier New" w:hint="default"/>
      </w:rPr>
    </w:lvl>
    <w:lvl w:ilvl="5" w:tplc="040C0005" w:tentative="1">
      <w:start w:val="1"/>
      <w:numFmt w:val="bullet"/>
      <w:lvlText w:val=""/>
      <w:lvlJc w:val="left"/>
      <w:pPr>
        <w:ind w:left="4498" w:hanging="360"/>
      </w:pPr>
      <w:rPr>
        <w:rFonts w:ascii="Wingdings" w:hAnsi="Wingdings" w:hint="default"/>
      </w:rPr>
    </w:lvl>
    <w:lvl w:ilvl="6" w:tplc="040C0001" w:tentative="1">
      <w:start w:val="1"/>
      <w:numFmt w:val="bullet"/>
      <w:lvlText w:val=""/>
      <w:lvlJc w:val="left"/>
      <w:pPr>
        <w:ind w:left="5218" w:hanging="360"/>
      </w:pPr>
      <w:rPr>
        <w:rFonts w:ascii="Symbol" w:hAnsi="Symbol" w:hint="default"/>
      </w:rPr>
    </w:lvl>
    <w:lvl w:ilvl="7" w:tplc="040C0003" w:tentative="1">
      <w:start w:val="1"/>
      <w:numFmt w:val="bullet"/>
      <w:lvlText w:val="o"/>
      <w:lvlJc w:val="left"/>
      <w:pPr>
        <w:ind w:left="5938" w:hanging="360"/>
      </w:pPr>
      <w:rPr>
        <w:rFonts w:ascii="Courier New" w:hAnsi="Courier New" w:cs="Courier New" w:hint="default"/>
      </w:rPr>
    </w:lvl>
    <w:lvl w:ilvl="8" w:tplc="040C0005" w:tentative="1">
      <w:start w:val="1"/>
      <w:numFmt w:val="bullet"/>
      <w:lvlText w:val=""/>
      <w:lvlJc w:val="left"/>
      <w:pPr>
        <w:ind w:left="6658" w:hanging="360"/>
      </w:pPr>
      <w:rPr>
        <w:rFonts w:ascii="Wingdings" w:hAnsi="Wingdings" w:hint="default"/>
      </w:rPr>
    </w:lvl>
  </w:abstractNum>
  <w:abstractNum w:abstractNumId="9" w15:restartNumberingAfterBreak="0">
    <w:nsid w:val="1EA00E75"/>
    <w:multiLevelType w:val="hybridMultilevel"/>
    <w:tmpl w:val="B72CC16E"/>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ED04A44"/>
    <w:multiLevelType w:val="hybridMultilevel"/>
    <w:tmpl w:val="686ED318"/>
    <w:lvl w:ilvl="0" w:tplc="8E62B06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1031C87"/>
    <w:multiLevelType w:val="hybridMultilevel"/>
    <w:tmpl w:val="2A6A9BA4"/>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8BB5324"/>
    <w:multiLevelType w:val="hybridMultilevel"/>
    <w:tmpl w:val="BC0A42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BD66932"/>
    <w:multiLevelType w:val="hybridMultilevel"/>
    <w:tmpl w:val="D5247CB6"/>
    <w:lvl w:ilvl="0" w:tplc="F8E884B0">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31787C20"/>
    <w:multiLevelType w:val="hybridMultilevel"/>
    <w:tmpl w:val="51EE98F2"/>
    <w:lvl w:ilvl="0" w:tplc="F8E884B0">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31900DFB"/>
    <w:multiLevelType w:val="hybridMultilevel"/>
    <w:tmpl w:val="F6DAA24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2076855"/>
    <w:multiLevelType w:val="hybridMultilevel"/>
    <w:tmpl w:val="7E9454B0"/>
    <w:lvl w:ilvl="0" w:tplc="F8E884B0">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370034AB"/>
    <w:multiLevelType w:val="hybridMultilevel"/>
    <w:tmpl w:val="7004BA8E"/>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370E4545"/>
    <w:multiLevelType w:val="hybridMultilevel"/>
    <w:tmpl w:val="43F6C930"/>
    <w:lvl w:ilvl="0" w:tplc="8E62B06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6CE1E75"/>
    <w:multiLevelType w:val="hybridMultilevel"/>
    <w:tmpl w:val="5EF416DE"/>
    <w:lvl w:ilvl="0" w:tplc="A8F07A4C">
      <w:start w:val="1"/>
      <w:numFmt w:val="bullet"/>
      <w:pStyle w:val="Corpsdetexte1"/>
      <w:lvlText w:val=""/>
      <w:lvlJc w:val="left"/>
      <w:pPr>
        <w:ind w:left="947" w:hanging="360"/>
      </w:pPr>
      <w:rPr>
        <w:rFonts w:ascii="Symbol" w:hAnsi="Symbol" w:hint="default"/>
        <w:sz w:val="22"/>
        <w:szCs w:val="22"/>
      </w:rPr>
    </w:lvl>
    <w:lvl w:ilvl="1" w:tplc="040C0003" w:tentative="1">
      <w:start w:val="1"/>
      <w:numFmt w:val="bullet"/>
      <w:lvlText w:val="o"/>
      <w:lvlJc w:val="left"/>
      <w:pPr>
        <w:ind w:left="1667" w:hanging="360"/>
      </w:pPr>
      <w:rPr>
        <w:rFonts w:ascii="Courier New" w:hAnsi="Courier New" w:cs="Courier New" w:hint="default"/>
      </w:rPr>
    </w:lvl>
    <w:lvl w:ilvl="2" w:tplc="040C0005" w:tentative="1">
      <w:start w:val="1"/>
      <w:numFmt w:val="bullet"/>
      <w:lvlText w:val=""/>
      <w:lvlJc w:val="left"/>
      <w:pPr>
        <w:ind w:left="2387" w:hanging="360"/>
      </w:pPr>
      <w:rPr>
        <w:rFonts w:ascii="Wingdings" w:hAnsi="Wingdings" w:hint="default"/>
      </w:rPr>
    </w:lvl>
    <w:lvl w:ilvl="3" w:tplc="040C0001" w:tentative="1">
      <w:start w:val="1"/>
      <w:numFmt w:val="bullet"/>
      <w:lvlText w:val=""/>
      <w:lvlJc w:val="left"/>
      <w:pPr>
        <w:ind w:left="3107" w:hanging="360"/>
      </w:pPr>
      <w:rPr>
        <w:rFonts w:ascii="Symbol" w:hAnsi="Symbol" w:hint="default"/>
      </w:rPr>
    </w:lvl>
    <w:lvl w:ilvl="4" w:tplc="040C0003" w:tentative="1">
      <w:start w:val="1"/>
      <w:numFmt w:val="bullet"/>
      <w:lvlText w:val="o"/>
      <w:lvlJc w:val="left"/>
      <w:pPr>
        <w:ind w:left="3827" w:hanging="360"/>
      </w:pPr>
      <w:rPr>
        <w:rFonts w:ascii="Courier New" w:hAnsi="Courier New" w:cs="Courier New" w:hint="default"/>
      </w:rPr>
    </w:lvl>
    <w:lvl w:ilvl="5" w:tplc="040C0005" w:tentative="1">
      <w:start w:val="1"/>
      <w:numFmt w:val="bullet"/>
      <w:lvlText w:val=""/>
      <w:lvlJc w:val="left"/>
      <w:pPr>
        <w:ind w:left="4547" w:hanging="360"/>
      </w:pPr>
      <w:rPr>
        <w:rFonts w:ascii="Wingdings" w:hAnsi="Wingdings" w:hint="default"/>
      </w:rPr>
    </w:lvl>
    <w:lvl w:ilvl="6" w:tplc="040C0001" w:tentative="1">
      <w:start w:val="1"/>
      <w:numFmt w:val="bullet"/>
      <w:lvlText w:val=""/>
      <w:lvlJc w:val="left"/>
      <w:pPr>
        <w:ind w:left="5267" w:hanging="360"/>
      </w:pPr>
      <w:rPr>
        <w:rFonts w:ascii="Symbol" w:hAnsi="Symbol" w:hint="default"/>
      </w:rPr>
    </w:lvl>
    <w:lvl w:ilvl="7" w:tplc="040C0003" w:tentative="1">
      <w:start w:val="1"/>
      <w:numFmt w:val="bullet"/>
      <w:lvlText w:val="o"/>
      <w:lvlJc w:val="left"/>
      <w:pPr>
        <w:ind w:left="5987" w:hanging="360"/>
      </w:pPr>
      <w:rPr>
        <w:rFonts w:ascii="Courier New" w:hAnsi="Courier New" w:cs="Courier New" w:hint="default"/>
      </w:rPr>
    </w:lvl>
    <w:lvl w:ilvl="8" w:tplc="040C0005" w:tentative="1">
      <w:start w:val="1"/>
      <w:numFmt w:val="bullet"/>
      <w:lvlText w:val=""/>
      <w:lvlJc w:val="left"/>
      <w:pPr>
        <w:ind w:left="6707" w:hanging="360"/>
      </w:pPr>
      <w:rPr>
        <w:rFonts w:ascii="Wingdings" w:hAnsi="Wingdings" w:hint="default"/>
      </w:rPr>
    </w:lvl>
  </w:abstractNum>
  <w:abstractNum w:abstractNumId="20" w15:restartNumberingAfterBreak="0">
    <w:nsid w:val="4BC4610B"/>
    <w:multiLevelType w:val="hybridMultilevel"/>
    <w:tmpl w:val="3D4ACED0"/>
    <w:lvl w:ilvl="0" w:tplc="DC24FFF8">
      <w:start w:val="1"/>
      <w:numFmt w:val="bullet"/>
      <w:pStyle w:val="Corpsdetexte001"/>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4D870008"/>
    <w:multiLevelType w:val="hybridMultilevel"/>
    <w:tmpl w:val="BA2A7FC0"/>
    <w:lvl w:ilvl="0" w:tplc="8E62B06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DC84840"/>
    <w:multiLevelType w:val="hybridMultilevel"/>
    <w:tmpl w:val="11381898"/>
    <w:lvl w:ilvl="0" w:tplc="8E62B06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4F151AE8"/>
    <w:multiLevelType w:val="hybridMultilevel"/>
    <w:tmpl w:val="E8DAA330"/>
    <w:lvl w:ilvl="0" w:tplc="0CAA258A">
      <w:start w:val="2"/>
      <w:numFmt w:val="bullet"/>
      <w:lvlText w:val="-"/>
      <w:lvlJc w:val="left"/>
      <w:pPr>
        <w:ind w:left="720" w:hanging="360"/>
      </w:pPr>
      <w:rPr>
        <w:rFonts w:ascii="Times New Roman" w:hAnsi="Times New Roman" w:cs="Times New Roman"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0132B34"/>
    <w:multiLevelType w:val="hybridMultilevel"/>
    <w:tmpl w:val="2F5E8CC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0911B4D"/>
    <w:multiLevelType w:val="hybridMultilevel"/>
    <w:tmpl w:val="114019D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12840A2"/>
    <w:multiLevelType w:val="hybridMultilevel"/>
    <w:tmpl w:val="A9301E4C"/>
    <w:lvl w:ilvl="0" w:tplc="F8E884B0">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7" w15:restartNumberingAfterBreak="0">
    <w:nsid w:val="548940DD"/>
    <w:multiLevelType w:val="hybridMultilevel"/>
    <w:tmpl w:val="52BE9EC8"/>
    <w:lvl w:ilvl="0" w:tplc="040C0017">
      <w:start w:val="1"/>
      <w:numFmt w:val="lowerLetter"/>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8" w15:restartNumberingAfterBreak="0">
    <w:nsid w:val="561D675F"/>
    <w:multiLevelType w:val="hybridMultilevel"/>
    <w:tmpl w:val="CEAC3A7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57B74A92"/>
    <w:multiLevelType w:val="hybridMultilevel"/>
    <w:tmpl w:val="68561D46"/>
    <w:lvl w:ilvl="0" w:tplc="040C0001">
      <w:start w:val="1"/>
      <w:numFmt w:val="bullet"/>
      <w:lvlText w:val=""/>
      <w:lvlJc w:val="left"/>
      <w:pPr>
        <w:ind w:left="720" w:hanging="360"/>
      </w:pPr>
      <w:rPr>
        <w:rFonts w:ascii="Symbol" w:hAnsi="Symbol" w:hint="default"/>
      </w:rPr>
    </w:lvl>
    <w:lvl w:ilvl="1" w:tplc="5446717E">
      <w:numFmt w:val="bullet"/>
      <w:lvlText w:val="•"/>
      <w:lvlJc w:val="left"/>
      <w:pPr>
        <w:ind w:left="1785" w:hanging="705"/>
      </w:pPr>
      <w:rPr>
        <w:rFonts w:ascii="Calibri" w:eastAsiaTheme="minorHAnsi" w:hAnsi="Calibri"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5DC50E67"/>
    <w:multiLevelType w:val="hybridMultilevel"/>
    <w:tmpl w:val="9E70AEBA"/>
    <w:lvl w:ilvl="0" w:tplc="E61C83A4">
      <w:numFmt w:val="bullet"/>
      <w:lvlText w:val="-"/>
      <w:lvlJc w:val="left"/>
      <w:pPr>
        <w:ind w:left="502" w:hanging="360"/>
      </w:pPr>
      <w:rPr>
        <w:rFonts w:ascii="Times New Roman" w:eastAsia="PMingLiU"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1" w15:restartNumberingAfterBreak="0">
    <w:nsid w:val="6494436B"/>
    <w:multiLevelType w:val="hybridMultilevel"/>
    <w:tmpl w:val="7D02164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93E4F22"/>
    <w:multiLevelType w:val="hybridMultilevel"/>
    <w:tmpl w:val="00B8029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754078CA"/>
    <w:multiLevelType w:val="multilevel"/>
    <w:tmpl w:val="3B884F9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15:restartNumberingAfterBreak="0">
    <w:nsid w:val="785C412B"/>
    <w:multiLevelType w:val="hybridMultilevel"/>
    <w:tmpl w:val="A59E23D2"/>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5"/>
  </w:num>
  <w:num w:numId="2">
    <w:abstractNumId w:val="34"/>
  </w:num>
  <w:num w:numId="3">
    <w:abstractNumId w:val="28"/>
  </w:num>
  <w:num w:numId="4">
    <w:abstractNumId w:val="31"/>
  </w:num>
  <w:num w:numId="5">
    <w:abstractNumId w:val="24"/>
  </w:num>
  <w:num w:numId="6">
    <w:abstractNumId w:val="7"/>
  </w:num>
  <w:num w:numId="7">
    <w:abstractNumId w:val="1"/>
  </w:num>
  <w:num w:numId="8">
    <w:abstractNumId w:val="8"/>
  </w:num>
  <w:num w:numId="9">
    <w:abstractNumId w:val="23"/>
  </w:num>
  <w:num w:numId="10">
    <w:abstractNumId w:val="19"/>
  </w:num>
  <w:num w:numId="11">
    <w:abstractNumId w:val="20"/>
  </w:num>
  <w:num w:numId="12">
    <w:abstractNumId w:val="33"/>
  </w:num>
  <w:num w:numId="13">
    <w:abstractNumId w:val="0"/>
  </w:num>
  <w:num w:numId="14">
    <w:abstractNumId w:val="10"/>
  </w:num>
  <w:num w:numId="15">
    <w:abstractNumId w:val="3"/>
  </w:num>
  <w:num w:numId="16">
    <w:abstractNumId w:val="17"/>
  </w:num>
  <w:num w:numId="17">
    <w:abstractNumId w:val="27"/>
  </w:num>
  <w:num w:numId="18">
    <w:abstractNumId w:val="5"/>
  </w:num>
  <w:num w:numId="19">
    <w:abstractNumId w:val="25"/>
  </w:num>
  <w:num w:numId="20">
    <w:abstractNumId w:val="18"/>
  </w:num>
  <w:num w:numId="21">
    <w:abstractNumId w:val="22"/>
  </w:num>
  <w:num w:numId="22">
    <w:abstractNumId w:val="29"/>
  </w:num>
  <w:num w:numId="23">
    <w:abstractNumId w:val="12"/>
  </w:num>
  <w:num w:numId="24">
    <w:abstractNumId w:val="11"/>
  </w:num>
  <w:num w:numId="25">
    <w:abstractNumId w:val="32"/>
  </w:num>
  <w:num w:numId="26">
    <w:abstractNumId w:val="26"/>
  </w:num>
  <w:num w:numId="27">
    <w:abstractNumId w:val="16"/>
  </w:num>
  <w:num w:numId="28">
    <w:abstractNumId w:val="14"/>
  </w:num>
  <w:num w:numId="29">
    <w:abstractNumId w:val="13"/>
  </w:num>
  <w:num w:numId="30">
    <w:abstractNumId w:val="4"/>
  </w:num>
  <w:num w:numId="31">
    <w:abstractNumId w:val="30"/>
  </w:num>
  <w:num w:numId="32">
    <w:abstractNumId w:val="6"/>
  </w:num>
  <w:num w:numId="33">
    <w:abstractNumId w:val="9"/>
  </w:num>
  <w:num w:numId="34">
    <w:abstractNumId w:val="21"/>
  </w:num>
  <w:num w:numId="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80C"/>
    <w:rsid w:val="0003670B"/>
    <w:rsid w:val="0004527B"/>
    <w:rsid w:val="000508E1"/>
    <w:rsid w:val="00075E90"/>
    <w:rsid w:val="0009466B"/>
    <w:rsid w:val="000961BC"/>
    <w:rsid w:val="000A22D9"/>
    <w:rsid w:val="000C756C"/>
    <w:rsid w:val="000F4352"/>
    <w:rsid w:val="00102098"/>
    <w:rsid w:val="001050D5"/>
    <w:rsid w:val="0011254F"/>
    <w:rsid w:val="00140131"/>
    <w:rsid w:val="001516E2"/>
    <w:rsid w:val="00177137"/>
    <w:rsid w:val="00193C04"/>
    <w:rsid w:val="0019403B"/>
    <w:rsid w:val="00197143"/>
    <w:rsid w:val="001F7AF5"/>
    <w:rsid w:val="0021165F"/>
    <w:rsid w:val="00212B0F"/>
    <w:rsid w:val="002237DD"/>
    <w:rsid w:val="0026015C"/>
    <w:rsid w:val="00264890"/>
    <w:rsid w:val="002651AB"/>
    <w:rsid w:val="00265841"/>
    <w:rsid w:val="0028280C"/>
    <w:rsid w:val="00291F0C"/>
    <w:rsid w:val="002A5BEC"/>
    <w:rsid w:val="002E04C5"/>
    <w:rsid w:val="00364977"/>
    <w:rsid w:val="003740B4"/>
    <w:rsid w:val="0038238E"/>
    <w:rsid w:val="0038699B"/>
    <w:rsid w:val="003A2FFE"/>
    <w:rsid w:val="003B5F1F"/>
    <w:rsid w:val="003C14DA"/>
    <w:rsid w:val="003C5BA0"/>
    <w:rsid w:val="003C70B2"/>
    <w:rsid w:val="003D51C7"/>
    <w:rsid w:val="003F0729"/>
    <w:rsid w:val="003F609A"/>
    <w:rsid w:val="00422503"/>
    <w:rsid w:val="00441EDF"/>
    <w:rsid w:val="00473766"/>
    <w:rsid w:val="004748C7"/>
    <w:rsid w:val="00482503"/>
    <w:rsid w:val="00484B58"/>
    <w:rsid w:val="00496A7D"/>
    <w:rsid w:val="004C46CD"/>
    <w:rsid w:val="004C64D1"/>
    <w:rsid w:val="004D0867"/>
    <w:rsid w:val="004D73BC"/>
    <w:rsid w:val="004E422D"/>
    <w:rsid w:val="004F1C8A"/>
    <w:rsid w:val="005031BA"/>
    <w:rsid w:val="00503321"/>
    <w:rsid w:val="00506601"/>
    <w:rsid w:val="00516A4F"/>
    <w:rsid w:val="00535408"/>
    <w:rsid w:val="005376F7"/>
    <w:rsid w:val="005619E4"/>
    <w:rsid w:val="0058099F"/>
    <w:rsid w:val="005963A6"/>
    <w:rsid w:val="005C75A9"/>
    <w:rsid w:val="005F0A83"/>
    <w:rsid w:val="00637E75"/>
    <w:rsid w:val="00650383"/>
    <w:rsid w:val="006801F4"/>
    <w:rsid w:val="00696BD2"/>
    <w:rsid w:val="006A2B7A"/>
    <w:rsid w:val="006F0839"/>
    <w:rsid w:val="00705BE2"/>
    <w:rsid w:val="00707335"/>
    <w:rsid w:val="007233CC"/>
    <w:rsid w:val="0073064C"/>
    <w:rsid w:val="00733610"/>
    <w:rsid w:val="0073420D"/>
    <w:rsid w:val="007407F4"/>
    <w:rsid w:val="007430D7"/>
    <w:rsid w:val="007554AD"/>
    <w:rsid w:val="007606F5"/>
    <w:rsid w:val="0076127B"/>
    <w:rsid w:val="00775C45"/>
    <w:rsid w:val="00796FFE"/>
    <w:rsid w:val="007A4382"/>
    <w:rsid w:val="007C48FD"/>
    <w:rsid w:val="007D029D"/>
    <w:rsid w:val="00803D66"/>
    <w:rsid w:val="00832A6D"/>
    <w:rsid w:val="008372E1"/>
    <w:rsid w:val="00854191"/>
    <w:rsid w:val="008600B0"/>
    <w:rsid w:val="008A5448"/>
    <w:rsid w:val="008B5B12"/>
    <w:rsid w:val="008B766A"/>
    <w:rsid w:val="008C096D"/>
    <w:rsid w:val="008D3B4D"/>
    <w:rsid w:val="00925A86"/>
    <w:rsid w:val="00933112"/>
    <w:rsid w:val="0093312C"/>
    <w:rsid w:val="009462B8"/>
    <w:rsid w:val="00950ECB"/>
    <w:rsid w:val="00952F94"/>
    <w:rsid w:val="00953B61"/>
    <w:rsid w:val="00973BB5"/>
    <w:rsid w:val="00995A9E"/>
    <w:rsid w:val="009B4099"/>
    <w:rsid w:val="009B5046"/>
    <w:rsid w:val="009D7475"/>
    <w:rsid w:val="009E6A3F"/>
    <w:rsid w:val="009F2CF9"/>
    <w:rsid w:val="009F5C0C"/>
    <w:rsid w:val="00A02BB4"/>
    <w:rsid w:val="00A16CFC"/>
    <w:rsid w:val="00A17E24"/>
    <w:rsid w:val="00A26656"/>
    <w:rsid w:val="00A9420C"/>
    <w:rsid w:val="00AA2DFC"/>
    <w:rsid w:val="00AB3CCD"/>
    <w:rsid w:val="00AC509B"/>
    <w:rsid w:val="00B218A7"/>
    <w:rsid w:val="00B317FE"/>
    <w:rsid w:val="00B34206"/>
    <w:rsid w:val="00B40343"/>
    <w:rsid w:val="00B5225B"/>
    <w:rsid w:val="00B53CCD"/>
    <w:rsid w:val="00B55AE7"/>
    <w:rsid w:val="00B6276F"/>
    <w:rsid w:val="00B72FDC"/>
    <w:rsid w:val="00B74207"/>
    <w:rsid w:val="00B75463"/>
    <w:rsid w:val="00BB2C35"/>
    <w:rsid w:val="00BD638E"/>
    <w:rsid w:val="00BF010E"/>
    <w:rsid w:val="00BF7F71"/>
    <w:rsid w:val="00C03B5C"/>
    <w:rsid w:val="00C0580E"/>
    <w:rsid w:val="00C076A8"/>
    <w:rsid w:val="00C11F40"/>
    <w:rsid w:val="00C12791"/>
    <w:rsid w:val="00C35C18"/>
    <w:rsid w:val="00C4350A"/>
    <w:rsid w:val="00C476AE"/>
    <w:rsid w:val="00C51664"/>
    <w:rsid w:val="00C63963"/>
    <w:rsid w:val="00C77A02"/>
    <w:rsid w:val="00CA02FA"/>
    <w:rsid w:val="00CD0857"/>
    <w:rsid w:val="00CD78AF"/>
    <w:rsid w:val="00CE00EF"/>
    <w:rsid w:val="00CF520C"/>
    <w:rsid w:val="00D348DF"/>
    <w:rsid w:val="00D53FE9"/>
    <w:rsid w:val="00D57835"/>
    <w:rsid w:val="00D64890"/>
    <w:rsid w:val="00D85ED1"/>
    <w:rsid w:val="00D92313"/>
    <w:rsid w:val="00DA2244"/>
    <w:rsid w:val="00DB175A"/>
    <w:rsid w:val="00DB45C6"/>
    <w:rsid w:val="00DD6D95"/>
    <w:rsid w:val="00DF2BA1"/>
    <w:rsid w:val="00DF46EC"/>
    <w:rsid w:val="00E0093B"/>
    <w:rsid w:val="00E02FE2"/>
    <w:rsid w:val="00E25B1F"/>
    <w:rsid w:val="00E33802"/>
    <w:rsid w:val="00E36CFD"/>
    <w:rsid w:val="00E43F48"/>
    <w:rsid w:val="00E846FC"/>
    <w:rsid w:val="00E872CF"/>
    <w:rsid w:val="00E943A1"/>
    <w:rsid w:val="00EA4DC3"/>
    <w:rsid w:val="00EA5682"/>
    <w:rsid w:val="00ED48AF"/>
    <w:rsid w:val="00ED6C33"/>
    <w:rsid w:val="00ED73C3"/>
    <w:rsid w:val="00EE11E6"/>
    <w:rsid w:val="00EF7E8E"/>
    <w:rsid w:val="00F0249E"/>
    <w:rsid w:val="00F16E70"/>
    <w:rsid w:val="00F4523B"/>
    <w:rsid w:val="00F5173D"/>
    <w:rsid w:val="00F66A88"/>
    <w:rsid w:val="00F80CE7"/>
    <w:rsid w:val="00F87E56"/>
    <w:rsid w:val="00F91BE9"/>
    <w:rsid w:val="00F92586"/>
    <w:rsid w:val="00F936CF"/>
    <w:rsid w:val="00F94EAD"/>
    <w:rsid w:val="00FA0F5D"/>
    <w:rsid w:val="00FA3121"/>
    <w:rsid w:val="00FC230F"/>
    <w:rsid w:val="00FC5C6F"/>
    <w:rsid w:val="00FC6F1A"/>
    <w:rsid w:val="00FD79BD"/>
    <w:rsid w:val="00FE609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263C92"/>
  <w15:chartTrackingRefBased/>
  <w15:docId w15:val="{21F700E2-FF8B-428A-93EB-E369E4A0F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8280C"/>
  </w:style>
  <w:style w:type="paragraph" w:styleId="Titre1">
    <w:name w:val="heading 1"/>
    <w:basedOn w:val="Normal"/>
    <w:next w:val="Normal"/>
    <w:link w:val="Titre1Car"/>
    <w:uiPriority w:val="9"/>
    <w:qFormat/>
    <w:rsid w:val="0028280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28280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unhideWhenUsed/>
    <w:qFormat/>
    <w:rsid w:val="0028280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unhideWhenUsed/>
    <w:qFormat/>
    <w:rsid w:val="0028280C"/>
    <w:pPr>
      <w:keepNext/>
      <w:keepLines/>
      <w:spacing w:before="40" w:after="0" w:line="276" w:lineRule="auto"/>
      <w:outlineLvl w:val="3"/>
    </w:pPr>
    <w:rPr>
      <w:rFonts w:asciiTheme="majorHAnsi" w:eastAsiaTheme="majorEastAsia" w:hAnsiTheme="majorHAnsi" w:cstheme="majorBidi"/>
      <w:i/>
      <w:iCs/>
      <w:color w:val="2E74B5" w:themeColor="accent1" w:themeShade="BF"/>
    </w:rPr>
  </w:style>
  <w:style w:type="paragraph" w:styleId="Titre5">
    <w:name w:val="heading 5"/>
    <w:basedOn w:val="Normal"/>
    <w:next w:val="Normal"/>
    <w:link w:val="Titre5Car"/>
    <w:uiPriority w:val="9"/>
    <w:semiHidden/>
    <w:unhideWhenUsed/>
    <w:qFormat/>
    <w:rsid w:val="0028280C"/>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8280C"/>
    <w:rPr>
      <w:rFonts w:asciiTheme="majorHAnsi" w:eastAsiaTheme="majorEastAsia" w:hAnsiTheme="majorHAnsi" w:cstheme="majorBidi"/>
      <w:color w:val="2E74B5" w:themeColor="accent1" w:themeShade="BF"/>
      <w:sz w:val="32"/>
      <w:szCs w:val="32"/>
    </w:rPr>
  </w:style>
  <w:style w:type="character" w:customStyle="1" w:styleId="Titre2Car">
    <w:name w:val="Titre 2 Car"/>
    <w:basedOn w:val="Policepardfaut"/>
    <w:link w:val="Titre2"/>
    <w:uiPriority w:val="9"/>
    <w:rsid w:val="0028280C"/>
    <w:rPr>
      <w:rFonts w:asciiTheme="majorHAnsi" w:eastAsiaTheme="majorEastAsia" w:hAnsiTheme="majorHAnsi" w:cstheme="majorBidi"/>
      <w:color w:val="2E74B5" w:themeColor="accent1" w:themeShade="BF"/>
      <w:sz w:val="26"/>
      <w:szCs w:val="26"/>
    </w:rPr>
  </w:style>
  <w:style w:type="character" w:customStyle="1" w:styleId="Titre3Car">
    <w:name w:val="Titre 3 Car"/>
    <w:basedOn w:val="Policepardfaut"/>
    <w:link w:val="Titre3"/>
    <w:uiPriority w:val="9"/>
    <w:rsid w:val="0028280C"/>
    <w:rPr>
      <w:rFonts w:asciiTheme="majorHAnsi" w:eastAsiaTheme="majorEastAsia" w:hAnsiTheme="majorHAnsi" w:cstheme="majorBidi"/>
      <w:color w:val="1F4D78" w:themeColor="accent1" w:themeShade="7F"/>
      <w:sz w:val="24"/>
      <w:szCs w:val="24"/>
    </w:rPr>
  </w:style>
  <w:style w:type="character" w:customStyle="1" w:styleId="Titre4Car">
    <w:name w:val="Titre 4 Car"/>
    <w:basedOn w:val="Policepardfaut"/>
    <w:link w:val="Titre4"/>
    <w:uiPriority w:val="9"/>
    <w:rsid w:val="0028280C"/>
    <w:rPr>
      <w:rFonts w:asciiTheme="majorHAnsi" w:eastAsiaTheme="majorEastAsia" w:hAnsiTheme="majorHAnsi" w:cstheme="majorBidi"/>
      <w:i/>
      <w:iCs/>
      <w:color w:val="2E74B5" w:themeColor="accent1" w:themeShade="BF"/>
    </w:rPr>
  </w:style>
  <w:style w:type="character" w:customStyle="1" w:styleId="Titre5Car">
    <w:name w:val="Titre 5 Car"/>
    <w:basedOn w:val="Policepardfaut"/>
    <w:link w:val="Titre5"/>
    <w:uiPriority w:val="9"/>
    <w:semiHidden/>
    <w:rsid w:val="0028280C"/>
    <w:rPr>
      <w:rFonts w:asciiTheme="majorHAnsi" w:eastAsiaTheme="majorEastAsia" w:hAnsiTheme="majorHAnsi" w:cstheme="majorBidi"/>
      <w:color w:val="2E74B5" w:themeColor="accent1" w:themeShade="BF"/>
    </w:rPr>
  </w:style>
  <w:style w:type="paragraph" w:styleId="Paragraphedeliste">
    <w:name w:val="List Paragraph"/>
    <w:aliases w:val="References,List Paragraph normal,Dot pt,No Spacing1,List Paragraph Char Char Char,Indicator Text,Numbered Para 1,List Paragraph12,Bullet Points,MAIN CONTENT,Bullet 1,Colorful List - Accent 11,List Paragraph1,- List tir,texte,Liste 1"/>
    <w:basedOn w:val="Normal"/>
    <w:link w:val="ParagraphedelisteCar"/>
    <w:uiPriority w:val="34"/>
    <w:qFormat/>
    <w:rsid w:val="0028280C"/>
    <w:pPr>
      <w:ind w:left="720"/>
      <w:contextualSpacing/>
    </w:pPr>
  </w:style>
  <w:style w:type="character" w:customStyle="1" w:styleId="ParagraphedelisteCar">
    <w:name w:val="Paragraphe de liste Car"/>
    <w:aliases w:val="References Car,List Paragraph normal Car,Dot pt Car,No Spacing1 Car,List Paragraph Char Char Char Car,Indicator Text Car,Numbered Para 1 Car,List Paragraph12 Car,Bullet Points Car,MAIN CONTENT Car,Bullet 1 Car,List Paragraph1 Car"/>
    <w:link w:val="Paragraphedeliste"/>
    <w:uiPriority w:val="34"/>
    <w:qFormat/>
    <w:rsid w:val="0028280C"/>
  </w:style>
  <w:style w:type="paragraph" w:styleId="NormalWeb">
    <w:name w:val="Normal (Web)"/>
    <w:basedOn w:val="Normal"/>
    <w:uiPriority w:val="99"/>
    <w:unhideWhenUsed/>
    <w:rsid w:val="0028280C"/>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Accentuation">
    <w:name w:val="Emphasis"/>
    <w:basedOn w:val="Policepardfaut"/>
    <w:uiPriority w:val="20"/>
    <w:qFormat/>
    <w:rsid w:val="0028280C"/>
    <w:rPr>
      <w:i/>
      <w:iCs/>
    </w:rPr>
  </w:style>
  <w:style w:type="character" w:styleId="lev">
    <w:name w:val="Strong"/>
    <w:basedOn w:val="Policepardfaut"/>
    <w:uiPriority w:val="22"/>
    <w:qFormat/>
    <w:rsid w:val="0028280C"/>
    <w:rPr>
      <w:b/>
      <w:bCs/>
    </w:rPr>
  </w:style>
  <w:style w:type="paragraph" w:styleId="Notedebasdepage">
    <w:name w:val="footnote text"/>
    <w:aliases w:val="ALTS FOOTNOTE,fn,single space,FOOTNOTES,footnote text,Footnote Text Char1 Char,Footnote Text Char Char Char1,Footnote Text Char1 Char Char Char1,Footnote Text Char1 Char1 Char,Footnote Text Char Char Char Char,Char,12pt,ft Char,ft,f"/>
    <w:basedOn w:val="Normal"/>
    <w:link w:val="NotedebasdepageCar"/>
    <w:uiPriority w:val="99"/>
    <w:unhideWhenUsed/>
    <w:qFormat/>
    <w:rsid w:val="0028280C"/>
    <w:pPr>
      <w:spacing w:after="0" w:line="240" w:lineRule="auto"/>
    </w:pPr>
    <w:rPr>
      <w:sz w:val="20"/>
      <w:szCs w:val="20"/>
    </w:rPr>
  </w:style>
  <w:style w:type="character" w:customStyle="1" w:styleId="NotedebasdepageCar">
    <w:name w:val="Note de bas de page Car"/>
    <w:aliases w:val="ALTS FOOTNOTE Car,fn Car,single space Car,FOOTNOTES Car,footnote text Car,Footnote Text Char1 Char Car,Footnote Text Char Char Char1 Car,Footnote Text Char1 Char Char Char1 Car,Footnote Text Char1 Char1 Char Car,Char Car,12pt Car"/>
    <w:basedOn w:val="Policepardfaut"/>
    <w:link w:val="Notedebasdepage"/>
    <w:uiPriority w:val="99"/>
    <w:rsid w:val="0028280C"/>
    <w:rPr>
      <w:sz w:val="20"/>
      <w:szCs w:val="20"/>
    </w:rPr>
  </w:style>
  <w:style w:type="character" w:styleId="Appelnotedebasdep">
    <w:name w:val="footnote reference"/>
    <w:aliases w:val="ftref,16 Point,Superscript 6 Point,Car Car Char Car Char Car Car Char Car Char Char,Car Car Car Car Car Car Car Car Char Car Car Char Car Car Car Char Car Char Char Char,SUPERS,Error-Fußnotenzeichen5,Error-Fußnotenzeichen6,Ref,fr"/>
    <w:basedOn w:val="Policepardfaut"/>
    <w:link w:val="ftrefChar"/>
    <w:uiPriority w:val="99"/>
    <w:unhideWhenUsed/>
    <w:qFormat/>
    <w:rsid w:val="0028280C"/>
    <w:rPr>
      <w:vertAlign w:val="superscript"/>
    </w:rPr>
  </w:style>
  <w:style w:type="paragraph" w:customStyle="1" w:styleId="ftrefChar">
    <w:name w:val="ftref Char"/>
    <w:aliases w:val="Car Car Char Car Char Car Car Char Car Char Char Char,Car Car Car Car Car Car Car Car Char Car Car Char Car Car Car Char Car Char Char Char Char,16 Point Char,Char Char Char,Heading 3 Char Char Char Char,Superscript 6 Point Char, BVI fnr Char"/>
    <w:basedOn w:val="Normal"/>
    <w:link w:val="Appelnotedebasdep"/>
    <w:rsid w:val="0028280C"/>
    <w:pPr>
      <w:spacing w:before="120" w:line="240" w:lineRule="exact"/>
      <w:jc w:val="both"/>
    </w:pPr>
    <w:rPr>
      <w:vertAlign w:val="superscript"/>
    </w:rPr>
  </w:style>
  <w:style w:type="character" w:styleId="Lienhypertexte">
    <w:name w:val="Hyperlink"/>
    <w:basedOn w:val="Policepardfaut"/>
    <w:uiPriority w:val="99"/>
    <w:unhideWhenUsed/>
    <w:rsid w:val="0028280C"/>
    <w:rPr>
      <w:color w:val="0563C1" w:themeColor="hyperlink"/>
      <w:u w:val="single"/>
    </w:rPr>
  </w:style>
  <w:style w:type="paragraph" w:customStyle="1" w:styleId="Default">
    <w:name w:val="Default"/>
    <w:rsid w:val="0028280C"/>
    <w:pPr>
      <w:autoSpaceDE w:val="0"/>
      <w:autoSpaceDN w:val="0"/>
      <w:adjustRightInd w:val="0"/>
      <w:spacing w:after="0" w:line="240" w:lineRule="auto"/>
    </w:pPr>
    <w:rPr>
      <w:rFonts w:ascii="Montserrat" w:hAnsi="Montserrat" w:cs="Montserrat"/>
      <w:color w:val="000000"/>
      <w:sz w:val="24"/>
      <w:szCs w:val="24"/>
    </w:rPr>
  </w:style>
  <w:style w:type="paragraph" w:customStyle="1" w:styleId="ftrefCar">
    <w:name w:val="ftref Car"/>
    <w:aliases w:val="16 Point Car,Superscript 6 Point Car,Car Car Char Car Char Car Car Char Car Char Char Car,Car Car Car Car Car Car Car Car Char Car Car Char Car Car Car Char Car Char Char Char Car,SUPERS Car"/>
    <w:basedOn w:val="Normal"/>
    <w:uiPriority w:val="99"/>
    <w:rsid w:val="0028280C"/>
    <w:pPr>
      <w:widowControl w:val="0"/>
      <w:spacing w:line="240" w:lineRule="exact"/>
      <w:jc w:val="both"/>
    </w:pPr>
    <w:rPr>
      <w:vertAlign w:val="superscript"/>
    </w:rPr>
  </w:style>
  <w:style w:type="paragraph" w:customStyle="1" w:styleId="PARFEMNUM">
    <w:name w:val="PAR FEM NUM"/>
    <w:basedOn w:val="Normal"/>
    <w:link w:val="PARFEMNUMChar"/>
    <w:autoRedefine/>
    <w:qFormat/>
    <w:rsid w:val="0028280C"/>
    <w:pPr>
      <w:widowControl w:val="0"/>
      <w:autoSpaceDE w:val="0"/>
      <w:autoSpaceDN w:val="0"/>
      <w:adjustRightInd w:val="0"/>
      <w:spacing w:before="240" w:after="0" w:line="276" w:lineRule="auto"/>
      <w:jc w:val="both"/>
    </w:pPr>
    <w:rPr>
      <w:rFonts w:ascii="Times New Roman" w:eastAsia="BatangChe" w:hAnsi="Times New Roman" w:cs="Times New Roman"/>
      <w:snapToGrid w:val="0"/>
      <w:szCs w:val="20"/>
      <w:lang w:val="fr-CM" w:eastAsia="fr-FR"/>
    </w:rPr>
  </w:style>
  <w:style w:type="character" w:customStyle="1" w:styleId="PARFEMNUMChar">
    <w:name w:val="PAR FEM NUM Char"/>
    <w:basedOn w:val="Policepardfaut"/>
    <w:link w:val="PARFEMNUM"/>
    <w:rsid w:val="0028280C"/>
    <w:rPr>
      <w:rFonts w:ascii="Times New Roman" w:eastAsia="BatangChe" w:hAnsi="Times New Roman" w:cs="Times New Roman"/>
      <w:snapToGrid w:val="0"/>
      <w:szCs w:val="20"/>
      <w:lang w:val="fr-CM" w:eastAsia="fr-FR"/>
    </w:rPr>
  </w:style>
  <w:style w:type="table" w:styleId="TableauGrille4-Accentuation5">
    <w:name w:val="Grid Table 4 Accent 5"/>
    <w:basedOn w:val="TableauNormal"/>
    <w:uiPriority w:val="49"/>
    <w:rsid w:val="0028280C"/>
    <w:pPr>
      <w:spacing w:after="0" w:line="240" w:lineRule="auto"/>
    </w:pPr>
    <w:rPr>
      <w:sz w:val="24"/>
      <w:szCs w:val="24"/>
      <w:lang w:val="en-GB"/>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eauGrille4-Accentuation1">
    <w:name w:val="Grid Table 4 Accent 1"/>
    <w:basedOn w:val="TableauNormal"/>
    <w:uiPriority w:val="49"/>
    <w:rsid w:val="0028280C"/>
    <w:pPr>
      <w:spacing w:after="0" w:line="240" w:lineRule="auto"/>
    </w:pPr>
    <w:rPr>
      <w:sz w:val="24"/>
      <w:szCs w:val="24"/>
      <w:lang w:val="en-GB"/>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lledutableau">
    <w:name w:val="Table Grid"/>
    <w:basedOn w:val="TableauNormal"/>
    <w:uiPriority w:val="39"/>
    <w:rsid w:val="0028280C"/>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uiPriority w:val="1"/>
    <w:qFormat/>
    <w:rsid w:val="0028280C"/>
    <w:pPr>
      <w:spacing w:after="0" w:line="240" w:lineRule="auto"/>
    </w:pPr>
    <w:rPr>
      <w:lang w:val="en-US"/>
    </w:rPr>
  </w:style>
  <w:style w:type="paragraph" w:styleId="En-tte">
    <w:name w:val="header"/>
    <w:basedOn w:val="Normal"/>
    <w:link w:val="En-tteCar"/>
    <w:uiPriority w:val="99"/>
    <w:unhideWhenUsed/>
    <w:rsid w:val="0028280C"/>
    <w:pPr>
      <w:tabs>
        <w:tab w:val="center" w:pos="4513"/>
        <w:tab w:val="right" w:pos="9026"/>
      </w:tabs>
      <w:spacing w:after="0" w:line="240" w:lineRule="auto"/>
    </w:pPr>
  </w:style>
  <w:style w:type="character" w:customStyle="1" w:styleId="En-tteCar">
    <w:name w:val="En-tête Car"/>
    <w:basedOn w:val="Policepardfaut"/>
    <w:link w:val="En-tte"/>
    <w:uiPriority w:val="99"/>
    <w:rsid w:val="0028280C"/>
  </w:style>
  <w:style w:type="paragraph" w:styleId="Pieddepage">
    <w:name w:val="footer"/>
    <w:basedOn w:val="Normal"/>
    <w:link w:val="PieddepageCar"/>
    <w:uiPriority w:val="99"/>
    <w:unhideWhenUsed/>
    <w:rsid w:val="0028280C"/>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28280C"/>
  </w:style>
  <w:style w:type="paragraph" w:styleId="En-ttedetabledesmatires">
    <w:name w:val="TOC Heading"/>
    <w:basedOn w:val="Titre1"/>
    <w:next w:val="Normal"/>
    <w:uiPriority w:val="39"/>
    <w:unhideWhenUsed/>
    <w:qFormat/>
    <w:rsid w:val="0028280C"/>
    <w:pPr>
      <w:outlineLvl w:val="9"/>
    </w:pPr>
    <w:rPr>
      <w:lang w:eastAsia="fr-FR"/>
    </w:rPr>
  </w:style>
  <w:style w:type="paragraph" w:styleId="TM1">
    <w:name w:val="toc 1"/>
    <w:basedOn w:val="Normal"/>
    <w:next w:val="Normal"/>
    <w:autoRedefine/>
    <w:uiPriority w:val="39"/>
    <w:unhideWhenUsed/>
    <w:rsid w:val="0028280C"/>
    <w:pPr>
      <w:spacing w:after="100"/>
    </w:pPr>
  </w:style>
  <w:style w:type="paragraph" w:styleId="TM2">
    <w:name w:val="toc 2"/>
    <w:basedOn w:val="Normal"/>
    <w:next w:val="Normal"/>
    <w:autoRedefine/>
    <w:uiPriority w:val="39"/>
    <w:unhideWhenUsed/>
    <w:rsid w:val="0028280C"/>
    <w:pPr>
      <w:spacing w:after="100"/>
      <w:ind w:left="220"/>
    </w:pPr>
  </w:style>
  <w:style w:type="paragraph" w:styleId="TM3">
    <w:name w:val="toc 3"/>
    <w:basedOn w:val="Normal"/>
    <w:next w:val="Normal"/>
    <w:autoRedefine/>
    <w:uiPriority w:val="39"/>
    <w:unhideWhenUsed/>
    <w:rsid w:val="0028280C"/>
    <w:pPr>
      <w:spacing w:after="100"/>
      <w:ind w:left="440"/>
    </w:pPr>
  </w:style>
  <w:style w:type="paragraph" w:styleId="Commentaire">
    <w:name w:val="annotation text"/>
    <w:basedOn w:val="Normal"/>
    <w:link w:val="CommentaireCar"/>
    <w:uiPriority w:val="99"/>
    <w:unhideWhenUsed/>
    <w:rsid w:val="0028280C"/>
    <w:pPr>
      <w:spacing w:line="264" w:lineRule="auto"/>
    </w:pPr>
    <w:rPr>
      <w:rFonts w:ascii="Calibri" w:hAnsi="Calibri"/>
      <w:szCs w:val="20"/>
    </w:rPr>
  </w:style>
  <w:style w:type="character" w:customStyle="1" w:styleId="CommentaireCar">
    <w:name w:val="Commentaire Car"/>
    <w:basedOn w:val="Policepardfaut"/>
    <w:link w:val="Commentaire"/>
    <w:uiPriority w:val="99"/>
    <w:rsid w:val="0028280C"/>
    <w:rPr>
      <w:rFonts w:ascii="Calibri" w:hAnsi="Calibri"/>
      <w:szCs w:val="20"/>
    </w:rPr>
  </w:style>
  <w:style w:type="paragraph" w:styleId="Lgende">
    <w:name w:val="caption"/>
    <w:aliases w:val="LVT Table Heading,Légende1,Légende21,Légende111,Car111,Car Car Car Car Car Car Car Car Car111,Car Car Car Car Car111,Car Car Car Car111,Car Car Car Car Car Car Car Car211,Car Car Car Car Car Car Car Car Car Car Car Car Car Car Car11,Caption Char"/>
    <w:basedOn w:val="Normal"/>
    <w:next w:val="Normal"/>
    <w:link w:val="LgendeCar"/>
    <w:autoRedefine/>
    <w:uiPriority w:val="35"/>
    <w:unhideWhenUsed/>
    <w:qFormat/>
    <w:rsid w:val="0028280C"/>
    <w:pPr>
      <w:keepNext/>
      <w:spacing w:after="0" w:line="264" w:lineRule="auto"/>
      <w:jc w:val="center"/>
    </w:pPr>
    <w:rPr>
      <w:rFonts w:ascii="Calibri" w:hAnsi="Calibri" w:cs="Times New Roman"/>
      <w:b/>
      <w:iCs/>
      <w:color w:val="000000" w:themeColor="text1"/>
      <w:szCs w:val="24"/>
    </w:rPr>
  </w:style>
  <w:style w:type="character" w:customStyle="1" w:styleId="LgendeCar">
    <w:name w:val="Légende Car"/>
    <w:aliases w:val="LVT Table Heading Car,Légende1 Car,Légende21 Car,Légende111 Car,Car111 Car,Car Car Car Car Car Car Car Car Car111 Car,Car Car Car Car Car111 Car,Car Car Car Car111 Car,Car Car Car Car Car Car Car Car211 Car,Caption Char Car"/>
    <w:link w:val="Lgende"/>
    <w:uiPriority w:val="35"/>
    <w:locked/>
    <w:rsid w:val="0028280C"/>
    <w:rPr>
      <w:rFonts w:ascii="Calibri" w:hAnsi="Calibri" w:cs="Times New Roman"/>
      <w:b/>
      <w:iCs/>
      <w:color w:val="000000" w:themeColor="text1"/>
      <w:szCs w:val="24"/>
    </w:rPr>
  </w:style>
  <w:style w:type="table" w:styleId="TableauGrille4-Accentuation4">
    <w:name w:val="Grid Table 4 Accent 4"/>
    <w:basedOn w:val="TableauNormal"/>
    <w:uiPriority w:val="49"/>
    <w:rsid w:val="0028280C"/>
    <w:pPr>
      <w:spacing w:after="0" w:line="240" w:lineRule="auto"/>
    </w:pPr>
    <w:rPr>
      <w:rFonts w:eastAsia="Calibri"/>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styleId="Corpsdetexte">
    <w:name w:val="Body Text"/>
    <w:basedOn w:val="Normal"/>
    <w:link w:val="CorpsdetexteCar"/>
    <w:qFormat/>
    <w:rsid w:val="0028280C"/>
    <w:pPr>
      <w:shd w:val="solid" w:color="FFFFFF" w:fill="auto"/>
      <w:spacing w:before="80" w:after="80" w:line="240" w:lineRule="auto"/>
      <w:jc w:val="both"/>
    </w:pPr>
    <w:rPr>
      <w:rFonts w:ascii="Times New Roman" w:eastAsia="Times New Roman" w:hAnsi="Times New Roman" w:cs="Times New Roman"/>
      <w:color w:val="000000"/>
      <w:spacing w:val="-2"/>
      <w:szCs w:val="20"/>
      <w:lang w:eastAsia="fr-FR"/>
    </w:rPr>
  </w:style>
  <w:style w:type="character" w:customStyle="1" w:styleId="CorpsdetexteCar">
    <w:name w:val="Corps de texte Car"/>
    <w:basedOn w:val="Policepardfaut"/>
    <w:link w:val="Corpsdetexte"/>
    <w:rsid w:val="0028280C"/>
    <w:rPr>
      <w:rFonts w:ascii="Times New Roman" w:eastAsia="Times New Roman" w:hAnsi="Times New Roman" w:cs="Times New Roman"/>
      <w:color w:val="000000"/>
      <w:spacing w:val="-2"/>
      <w:szCs w:val="20"/>
      <w:shd w:val="solid" w:color="FFFFFF" w:fill="auto"/>
      <w:lang w:eastAsia="fr-FR"/>
    </w:rPr>
  </w:style>
  <w:style w:type="paragraph" w:customStyle="1" w:styleId="ftrefCarCar1CarCarCarCarCar1CharCar">
    <w:name w:val="ftref Car Car1 Car Car Car Car Car1 Char Car"/>
    <w:basedOn w:val="Normal"/>
    <w:uiPriority w:val="99"/>
    <w:rsid w:val="0028280C"/>
    <w:pPr>
      <w:spacing w:line="240" w:lineRule="exact"/>
      <w:ind w:left="198" w:firstLine="284"/>
      <w:jc w:val="both"/>
    </w:pPr>
    <w:rPr>
      <w:vertAlign w:val="superscript"/>
    </w:rPr>
  </w:style>
  <w:style w:type="paragraph" w:styleId="Corpsdetexte3">
    <w:name w:val="Body Text 3"/>
    <w:basedOn w:val="Normal"/>
    <w:link w:val="Corpsdetexte3Car"/>
    <w:unhideWhenUsed/>
    <w:rsid w:val="0028280C"/>
    <w:pPr>
      <w:spacing w:after="120"/>
    </w:pPr>
    <w:rPr>
      <w:sz w:val="16"/>
      <w:szCs w:val="16"/>
    </w:rPr>
  </w:style>
  <w:style w:type="character" w:customStyle="1" w:styleId="Corpsdetexte3Car">
    <w:name w:val="Corps de texte 3 Car"/>
    <w:basedOn w:val="Policepardfaut"/>
    <w:link w:val="Corpsdetexte3"/>
    <w:rsid w:val="0028280C"/>
    <w:rPr>
      <w:sz w:val="16"/>
      <w:szCs w:val="16"/>
    </w:rPr>
  </w:style>
  <w:style w:type="paragraph" w:customStyle="1" w:styleId="Pa12">
    <w:name w:val="Pa12"/>
    <w:basedOn w:val="Normal"/>
    <w:next w:val="Normal"/>
    <w:uiPriority w:val="99"/>
    <w:rsid w:val="0028280C"/>
    <w:pPr>
      <w:autoSpaceDE w:val="0"/>
      <w:autoSpaceDN w:val="0"/>
      <w:adjustRightInd w:val="0"/>
      <w:spacing w:after="0" w:line="181" w:lineRule="atLeast"/>
    </w:pPr>
    <w:rPr>
      <w:rFonts w:ascii="Glober Bold" w:hAnsi="Glober Bold"/>
      <w:sz w:val="24"/>
      <w:szCs w:val="24"/>
    </w:rPr>
  </w:style>
  <w:style w:type="paragraph" w:customStyle="1" w:styleId="Corpsdetexte1">
    <w:name w:val="Corps de texte 1"/>
    <w:basedOn w:val="Normal"/>
    <w:rsid w:val="0028280C"/>
    <w:pPr>
      <w:widowControl w:val="0"/>
      <w:numPr>
        <w:numId w:val="10"/>
      </w:numPr>
      <w:spacing w:before="60" w:after="0" w:line="240" w:lineRule="auto"/>
      <w:ind w:left="454" w:hanging="227"/>
      <w:jc w:val="both"/>
    </w:pPr>
    <w:rPr>
      <w:rFonts w:ascii="Times New Roman" w:eastAsia="Times New Roman" w:hAnsi="Times New Roman" w:cs="Times New Roman"/>
      <w:snapToGrid w:val="0"/>
      <w:color w:val="000000"/>
      <w:szCs w:val="20"/>
      <w:lang w:eastAsia="fr-FR"/>
    </w:rPr>
  </w:style>
  <w:style w:type="paragraph" w:customStyle="1" w:styleId="Corpsdetexte001">
    <w:name w:val="Corps de texte 001"/>
    <w:basedOn w:val="Normal"/>
    <w:next w:val="Normal"/>
    <w:rsid w:val="0028280C"/>
    <w:pPr>
      <w:numPr>
        <w:numId w:val="11"/>
      </w:numPr>
      <w:spacing w:before="120" w:after="60" w:line="280" w:lineRule="exact"/>
      <w:ind w:left="454" w:hanging="227"/>
    </w:pPr>
    <w:rPr>
      <w:rFonts w:ascii="Times New Roman" w:eastAsia="Calibri" w:hAnsi="Times New Roman" w:cs="Times New Roman"/>
      <w:b/>
    </w:rPr>
  </w:style>
  <w:style w:type="paragraph" w:customStyle="1" w:styleId="Char2">
    <w:name w:val="Char2"/>
    <w:basedOn w:val="Normal"/>
    <w:uiPriority w:val="99"/>
    <w:rsid w:val="0028280C"/>
    <w:pPr>
      <w:spacing w:line="240" w:lineRule="exact"/>
    </w:pPr>
    <w:rPr>
      <w:vertAlign w:val="superscript"/>
      <w:lang w:val="en-US"/>
    </w:rPr>
  </w:style>
  <w:style w:type="character" w:styleId="Marquedecommentaire">
    <w:name w:val="annotation reference"/>
    <w:basedOn w:val="Policepardfaut"/>
    <w:uiPriority w:val="99"/>
    <w:semiHidden/>
    <w:unhideWhenUsed/>
    <w:rsid w:val="0028280C"/>
    <w:rPr>
      <w:sz w:val="16"/>
      <w:szCs w:val="16"/>
    </w:rPr>
  </w:style>
  <w:style w:type="character" w:customStyle="1" w:styleId="shorttext">
    <w:name w:val="short_text"/>
    <w:basedOn w:val="Policepardfaut"/>
    <w:rsid w:val="003A2FFE"/>
  </w:style>
  <w:style w:type="paragraph" w:customStyle="1" w:styleId="SingleTxtG">
    <w:name w:val="_ Single Txt_G"/>
    <w:basedOn w:val="Normal"/>
    <w:link w:val="SingleTxtGChar"/>
    <w:qFormat/>
    <w:rsid w:val="00A26656"/>
    <w:pPr>
      <w:suppressAutoHyphens/>
      <w:kinsoku w:val="0"/>
      <w:overflowPunct w:val="0"/>
      <w:autoSpaceDE w:val="0"/>
      <w:autoSpaceDN w:val="0"/>
      <w:adjustRightInd w:val="0"/>
      <w:snapToGrid w:val="0"/>
      <w:spacing w:after="120" w:line="240" w:lineRule="atLeast"/>
      <w:ind w:left="1134" w:right="1134"/>
      <w:jc w:val="both"/>
    </w:pPr>
    <w:rPr>
      <w:rFonts w:ascii="Times New Roman" w:hAnsi="Times New Roman" w:cs="Times New Roman"/>
      <w:sz w:val="20"/>
      <w:szCs w:val="20"/>
      <w:lang w:val="fr-CH"/>
    </w:rPr>
  </w:style>
  <w:style w:type="character" w:customStyle="1" w:styleId="SingleTxtGChar">
    <w:name w:val="_ Single Txt_G Char"/>
    <w:link w:val="SingleTxtG"/>
    <w:locked/>
    <w:rsid w:val="00A26656"/>
    <w:rPr>
      <w:rFonts w:ascii="Times New Roman" w:hAnsi="Times New Roman" w:cs="Times New Roman"/>
      <w:sz w:val="20"/>
      <w:szCs w:val="20"/>
      <w:lang w:val="fr-CH"/>
    </w:rPr>
  </w:style>
  <w:style w:type="paragraph" w:styleId="Textedebulles">
    <w:name w:val="Balloon Text"/>
    <w:basedOn w:val="Normal"/>
    <w:link w:val="TextedebullesCar"/>
    <w:uiPriority w:val="99"/>
    <w:semiHidden/>
    <w:unhideWhenUsed/>
    <w:rsid w:val="007430D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430D7"/>
    <w:rPr>
      <w:rFonts w:ascii="Segoe UI" w:hAnsi="Segoe UI" w:cs="Segoe UI"/>
      <w:sz w:val="18"/>
      <w:szCs w:val="18"/>
    </w:rPr>
  </w:style>
  <w:style w:type="paragraph" w:styleId="Rvision">
    <w:name w:val="Revision"/>
    <w:hidden/>
    <w:uiPriority w:val="99"/>
    <w:semiHidden/>
    <w:rsid w:val="00D57835"/>
    <w:pPr>
      <w:spacing w:after="0" w:line="240" w:lineRule="auto"/>
    </w:pPr>
  </w:style>
  <w:style w:type="character" w:styleId="Lienhypertextesuivivisit">
    <w:name w:val="FollowedHyperlink"/>
    <w:basedOn w:val="Policepardfaut"/>
    <w:uiPriority w:val="99"/>
    <w:semiHidden/>
    <w:unhideWhenUsed/>
    <w:rsid w:val="009B5046"/>
    <w:rPr>
      <w:color w:val="954F72" w:themeColor="followedHyperlink"/>
      <w:u w:val="single"/>
    </w:rPr>
  </w:style>
  <w:style w:type="paragraph" w:styleId="Notedefin">
    <w:name w:val="endnote text"/>
    <w:basedOn w:val="Normal"/>
    <w:link w:val="NotedefinCar"/>
    <w:uiPriority w:val="99"/>
    <w:semiHidden/>
    <w:unhideWhenUsed/>
    <w:rsid w:val="00F5173D"/>
    <w:pPr>
      <w:spacing w:after="0" w:line="240" w:lineRule="auto"/>
    </w:pPr>
    <w:rPr>
      <w:sz w:val="20"/>
      <w:szCs w:val="20"/>
    </w:rPr>
  </w:style>
  <w:style w:type="character" w:customStyle="1" w:styleId="NotedefinCar">
    <w:name w:val="Note de fin Car"/>
    <w:basedOn w:val="Policepardfaut"/>
    <w:link w:val="Notedefin"/>
    <w:uiPriority w:val="99"/>
    <w:semiHidden/>
    <w:rsid w:val="00F5173D"/>
    <w:rPr>
      <w:sz w:val="20"/>
      <w:szCs w:val="20"/>
    </w:rPr>
  </w:style>
  <w:style w:type="character" w:styleId="Appeldenotedefin">
    <w:name w:val="endnote reference"/>
    <w:basedOn w:val="Policepardfaut"/>
    <w:uiPriority w:val="99"/>
    <w:semiHidden/>
    <w:unhideWhenUsed/>
    <w:rsid w:val="00F5173D"/>
    <w:rPr>
      <w:vertAlign w:val="superscript"/>
    </w:rPr>
  </w:style>
  <w:style w:type="paragraph" w:styleId="Objetducommentaire">
    <w:name w:val="annotation subject"/>
    <w:basedOn w:val="Commentaire"/>
    <w:next w:val="Commentaire"/>
    <w:link w:val="ObjetducommentaireCar"/>
    <w:uiPriority w:val="99"/>
    <w:semiHidden/>
    <w:unhideWhenUsed/>
    <w:rsid w:val="007606F5"/>
    <w:pPr>
      <w:spacing w:line="240" w:lineRule="auto"/>
    </w:pPr>
    <w:rPr>
      <w:rFonts w:asciiTheme="minorHAnsi" w:hAnsiTheme="minorHAnsi"/>
      <w:b/>
      <w:bCs/>
      <w:sz w:val="20"/>
    </w:rPr>
  </w:style>
  <w:style w:type="character" w:customStyle="1" w:styleId="ObjetducommentaireCar">
    <w:name w:val="Objet du commentaire Car"/>
    <w:basedOn w:val="CommentaireCar"/>
    <w:link w:val="Objetducommentaire"/>
    <w:uiPriority w:val="99"/>
    <w:semiHidden/>
    <w:rsid w:val="007606F5"/>
    <w:rPr>
      <w:rFonts w:ascii="Calibri" w:hAnsi="Calibr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oupie.org/Dictionnaire/Constitution.htm" TargetMode="External"/><Relationship Id="rId18" Type="http://schemas.openxmlformats.org/officeDocument/2006/relationships/hyperlink" Target="http://www.toupie.org/Dictionnaire/Egalite.htm" TargetMode="External"/><Relationship Id="rId26" Type="http://schemas.openxmlformats.org/officeDocument/2006/relationships/image" Target="media/image3.png"/><Relationship Id="rId39" Type="http://schemas.openxmlformats.org/officeDocument/2006/relationships/chart" Target="charts/chart7.xml"/><Relationship Id="rId21" Type="http://schemas.openxmlformats.org/officeDocument/2006/relationships/hyperlink" Target="http://www.toupie.org/Dictionnaire/Responsabilite.htm" TargetMode="External"/><Relationship Id="rId34" Type="http://schemas.openxmlformats.org/officeDocument/2006/relationships/chart" Target="charts/chart4.xml"/><Relationship Id="rId42" Type="http://schemas.openxmlformats.org/officeDocument/2006/relationships/hyperlink" Target="https://euc-word-edit.officeapps.live.com/we/wordeditorframe.aspx?ui=en%2DUS&amp;rs=en%2DZA&amp;wopisrc=https%3A%2F%2Funicef.sharepoint.com%2Fteams%2FNER-PMNE%2F_vti_bin%2Fwopi.ashx%2Ffiles%2Fca3dd4b206b041daaf8a8af789eb47bb&amp;wdlor=c76D34465%2d3C23%2d4768%2dA0BE%2d8678945E0098&amp;wdenableroaming=1&amp;mscc=1&amp;hid=5C180CA0-A000-3000-68F3-2D1D88A2CEF9&amp;wdorigin=Other&amp;jsapi=1&amp;jsapiver=v1&amp;newsession=1&amp;corrid=c8787042-2aad-459b-6201-f7f5d202d1b7&amp;usid=c8787042-2aad-459b-6201-f7f5d202d1b7&amp;sftc=1&amp;mtf=1&amp;sfp=1&amp;csc=1&amp;instantedit=1&amp;wopicomplete=1&amp;wdredirectionreason=Unified_SingleFlush&amp;preseededsessionkey=6a69c791-7024-f0cf-6921-a628094d3402&amp;preseededwacsessionid=c8787042-2aad-459b-6201-f7f5d202d1b7&amp;rct=Medium&amp;ctp=LeastProtected" TargetMode="External"/><Relationship Id="rId47" Type="http://schemas.openxmlformats.org/officeDocument/2006/relationships/image" Target="media/image11.jpeg"/><Relationship Id="rId50" Type="http://schemas.openxmlformats.org/officeDocument/2006/relationships/hyperlink" Target="https://euc-word-edit.officeapps.live.com/we/wordeditorframe.aspx?ui=en%2DUS&amp;rs=en%2DZA&amp;wopisrc=https%3A%2F%2Funicef.sharepoint.com%2Fteams%2FNER-PMNE%2F_vti_bin%2Fwopi.ashx%2Ffiles%2Fca3dd4b206b041daaf8a8af789eb47bb&amp;wdlor=c76D34465%2d3C23%2d4768%2dA0BE%2d8678945E0098&amp;wdenableroaming=1&amp;mscc=1&amp;hid=5C180CA0-A000-3000-68F3-2D1D88A2CEF9&amp;wdorigin=Other&amp;jsapi=1&amp;jsapiver=v1&amp;newsession=1&amp;corrid=c8787042-2aad-459b-6201-f7f5d202d1b7&amp;usid=c8787042-2aad-459b-6201-f7f5d202d1b7&amp;sftc=1&amp;mtf=1&amp;sfp=1&amp;csc=1&amp;instantedit=1&amp;wopicomplete=1&amp;wdredirectionreason=Unified_SingleFlush&amp;preseededsessionkey=6a69c791-7024-f0cf-6921-a628094d3402&amp;preseededwacsessionid=c8787042-2aad-459b-6201-f7f5d202d1b7&amp;rct=Medium&amp;ctp=LeastProtected" TargetMode="External"/><Relationship Id="rId55" Type="http://schemas.openxmlformats.org/officeDocument/2006/relationships/image" Target="media/image16.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toupie.org/Dictionnaire/Executif.htm" TargetMode="External"/><Relationship Id="rId29" Type="http://schemas.openxmlformats.org/officeDocument/2006/relationships/image" Target="media/image6.emf"/><Relationship Id="rId11" Type="http://schemas.openxmlformats.org/officeDocument/2006/relationships/hyperlink" Target="http://www.toupie.org/Dictionnaire/Legitimite.htm" TargetMode="External"/><Relationship Id="rId24" Type="http://schemas.openxmlformats.org/officeDocument/2006/relationships/hyperlink" Target="https://www.ceniniger.org/telechargements/ORDONNANCE%20PORTANT%20STATUT%20DE%20L%20%20OPPOSITION%20AU%20NIGER.pdf" TargetMode="External"/><Relationship Id="rId32" Type="http://schemas.openxmlformats.org/officeDocument/2006/relationships/chart" Target="charts/chart2.xml"/><Relationship Id="rId37" Type="http://schemas.openxmlformats.org/officeDocument/2006/relationships/chart" Target="charts/chart6.xml"/><Relationship Id="rId40" Type="http://schemas.openxmlformats.org/officeDocument/2006/relationships/chart" Target="charts/chart8.xml"/><Relationship Id="rId45" Type="http://schemas.openxmlformats.org/officeDocument/2006/relationships/hyperlink" Target="https://euc-word-edit.officeapps.live.com/we/wordeditorframe.aspx?ui=en%2DUS&amp;rs=en%2DZA&amp;wopisrc=https%3A%2F%2Funicef.sharepoint.com%2Fteams%2FNER-PMNE%2F_vti_bin%2Fwopi.ashx%2Ffiles%2Fca3dd4b206b041daaf8a8af789eb47bb&amp;wdlor=c76D34465%2d3C23%2d4768%2dA0BE%2d8678945E0098&amp;wdenableroaming=1&amp;mscc=1&amp;hid=5C180CA0-A000-3000-68F3-2D1D88A2CEF9&amp;wdorigin=Other&amp;jsapi=1&amp;jsapiver=v1&amp;newsession=1&amp;corrid=c8787042-2aad-459b-6201-f7f5d202d1b7&amp;usid=c8787042-2aad-459b-6201-f7f5d202d1b7&amp;sftc=1&amp;mtf=1&amp;sfp=1&amp;csc=1&amp;instantedit=1&amp;wopicomplete=1&amp;wdredirectionreason=Unified_SingleFlush&amp;preseededsessionkey=6a69c791-7024-f0cf-6921-a628094d3402&amp;preseededwacsessionid=c8787042-2aad-459b-6201-f7f5d202d1b7&amp;rct=Medium&amp;ctp=LeastProtected" TargetMode="External"/><Relationship Id="rId53" Type="http://schemas.openxmlformats.org/officeDocument/2006/relationships/image" Target="media/image14.png"/><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hyperlink" Target="http://www.toupie.org/Dictionnaire/Regle_droit.htm" TargetMode="External"/><Relationship Id="rId4" Type="http://schemas.openxmlformats.org/officeDocument/2006/relationships/settings" Target="settings.xml"/><Relationship Id="rId9" Type="http://schemas.openxmlformats.org/officeDocument/2006/relationships/hyperlink" Target="http://www.toupie.org/Dictionnaire/Norme.htm" TargetMode="External"/><Relationship Id="rId14" Type="http://schemas.openxmlformats.org/officeDocument/2006/relationships/hyperlink" Target="http://www.toupie.org/Dictionnaire/Independance.htm" TargetMode="External"/><Relationship Id="rId22" Type="http://schemas.openxmlformats.org/officeDocument/2006/relationships/hyperlink" Target="https://www.ilo.org/dyn/natlex/docs/ELECTRONIC/90281/103975/F1778860199/NER-90281.pdf" TargetMode="External"/><Relationship Id="rId27" Type="http://schemas.openxmlformats.org/officeDocument/2006/relationships/image" Target="media/image4.png"/><Relationship Id="rId30" Type="http://schemas.openxmlformats.org/officeDocument/2006/relationships/image" Target="media/image7.emf"/><Relationship Id="rId35" Type="http://schemas.openxmlformats.org/officeDocument/2006/relationships/chart" Target="charts/chart5.xml"/><Relationship Id="rId43" Type="http://schemas.openxmlformats.org/officeDocument/2006/relationships/hyperlink" Target="https://euc-word-edit.officeapps.live.com/we/wordeditorframe.aspx?ui=en%2DUS&amp;rs=en%2DZA&amp;wopisrc=https%3A%2F%2Funicef.sharepoint.com%2Fteams%2FNER-PMNE%2F_vti_bin%2Fwopi.ashx%2Ffiles%2Fca3dd4b206b041daaf8a8af789eb47bb&amp;wdlor=c76D34465%2d3C23%2d4768%2dA0BE%2d8678945E0098&amp;wdenableroaming=1&amp;mscc=1&amp;hid=5C180CA0-A000-3000-68F3-2D1D88A2CEF9&amp;wdorigin=Other&amp;jsapi=1&amp;jsapiver=v1&amp;newsession=1&amp;corrid=c8787042-2aad-459b-6201-f7f5d202d1b7&amp;usid=c8787042-2aad-459b-6201-f7f5d202d1b7&amp;sftc=1&amp;mtf=1&amp;sfp=1&amp;csc=1&amp;instantedit=1&amp;wopicomplete=1&amp;wdredirectionreason=Unified_SingleFlush&amp;preseededsessionkey=6a69c791-7024-f0cf-6921-a628094d3402&amp;preseededwacsessionid=c8787042-2aad-459b-6201-f7f5d202d1b7&amp;rct=Medium&amp;ctp=LeastProtected" TargetMode="External"/><Relationship Id="rId48" Type="http://schemas.openxmlformats.org/officeDocument/2006/relationships/hyperlink" Target="https://euc-word-edit.officeapps.live.com/we/wordeditorframe.aspx?ui=en%2DUS&amp;rs=en%2DZA&amp;wopisrc=https%3A%2F%2Funicef.sharepoint.com%2Fteams%2FNER-PMNE%2F_vti_bin%2Fwopi.ashx%2Ffiles%2Fca3dd4b206b041daaf8a8af789eb47bb&amp;wdlor=c76D34465%2d3C23%2d4768%2dA0BE%2d8678945E0098&amp;wdenableroaming=1&amp;mscc=1&amp;hid=5C180CA0-A000-3000-68F3-2D1D88A2CEF9&amp;wdorigin=Other&amp;jsapi=1&amp;jsapiver=v1&amp;newsession=1&amp;corrid=c8787042-2aad-459b-6201-f7f5d202d1b7&amp;usid=c8787042-2aad-459b-6201-f7f5d202d1b7&amp;sftc=1&amp;mtf=1&amp;sfp=1&amp;csc=1&amp;instantedit=1&amp;wopicomplete=1&amp;wdredirectionreason=Unified_SingleFlush&amp;preseededsessionkey=6a69c791-7024-f0cf-6921-a628094d3402&amp;preseededwacsessionid=c8787042-2aad-459b-6201-f7f5d202d1b7&amp;rct=Medium&amp;ctp=LeastProtected" TargetMode="External"/><Relationship Id="rId56" Type="http://schemas.openxmlformats.org/officeDocument/2006/relationships/hyperlink" Target="https://www.worldbank.org/en/topic/debt/brief/covid-19-debt-service-suspension-initiative" TargetMode="External"/><Relationship Id="rId8" Type="http://schemas.openxmlformats.org/officeDocument/2006/relationships/hyperlink" Target="https://www.worldbank.org/en/topic/debt/brief/covid-19-debt-service-suspension-initiative" TargetMode="External"/><Relationship Id="rId51" Type="http://schemas.openxmlformats.org/officeDocument/2006/relationships/image" Target="media/image12.png"/><Relationship Id="rId3" Type="http://schemas.openxmlformats.org/officeDocument/2006/relationships/styles" Target="styles.xml"/><Relationship Id="rId12" Type="http://schemas.openxmlformats.org/officeDocument/2006/relationships/hyperlink" Target="http://www.toupie.org/Dictionnaire/Separation_pouvoirs.htm" TargetMode="External"/><Relationship Id="rId17" Type="http://schemas.openxmlformats.org/officeDocument/2006/relationships/hyperlink" Target="http://www.toupie.org/Dictionnaire/Legislatif.htm" TargetMode="External"/><Relationship Id="rId25" Type="http://schemas.openxmlformats.org/officeDocument/2006/relationships/image" Target="media/image2.png"/><Relationship Id="rId33" Type="http://schemas.openxmlformats.org/officeDocument/2006/relationships/chart" Target="charts/chart3.xml"/><Relationship Id="rId38" Type="http://schemas.openxmlformats.org/officeDocument/2006/relationships/image" Target="media/image9.emf"/><Relationship Id="rId46" Type="http://schemas.openxmlformats.org/officeDocument/2006/relationships/image" Target="media/image10.jpg"/><Relationship Id="rId59" Type="http://schemas.openxmlformats.org/officeDocument/2006/relationships/theme" Target="theme/theme1.xml"/><Relationship Id="rId20" Type="http://schemas.openxmlformats.org/officeDocument/2006/relationships/hyperlink" Target="http://www.toupie.org/Dictionnaire/Personne_morale.htm" TargetMode="External"/><Relationship Id="rId41" Type="http://schemas.openxmlformats.org/officeDocument/2006/relationships/hyperlink" Target="https://euc-word-edit.officeapps.live.com/we/wordeditorframe.aspx?ui=en%2DUS&amp;rs=en%2DZA&amp;wopisrc=https%3A%2F%2Funicef.sharepoint.com%2Fteams%2FNER-PMNE%2F_vti_bin%2Fwopi.ashx%2Ffiles%2Fca3dd4b206b041daaf8a8af789eb47bb&amp;wdlor=c76D34465%2d3C23%2d4768%2dA0BE%2d8678945E0098&amp;wdenableroaming=1&amp;mscc=1&amp;hid=5C180CA0-A000-3000-68F3-2D1D88A2CEF9&amp;wdorigin=Other&amp;jsapi=1&amp;jsapiver=v1&amp;newsession=1&amp;corrid=c8787042-2aad-459b-6201-f7f5d202d1b7&amp;usid=c8787042-2aad-459b-6201-f7f5d202d1b7&amp;sftc=1&amp;mtf=1&amp;sfp=1&amp;csc=1&amp;instantedit=1&amp;wopicomplete=1&amp;wdredirectionreason=Unified_SingleFlush&amp;preseededsessionkey=6a69c791-7024-f0cf-6921-a628094d3402&amp;preseededwacsessionid=c8787042-2aad-459b-6201-f7f5d202d1b7&amp;rct=Medium&amp;ctp=LeastProtected" TargetMode="External"/><Relationship Id="rId54"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toupie.org/Dictionnaire/Judiciaire.htm" TargetMode="External"/><Relationship Id="rId23" Type="http://schemas.openxmlformats.org/officeDocument/2006/relationships/hyperlink" Target="https://www.ceniniger.org/partis-politiques/" TargetMode="External"/><Relationship Id="rId28" Type="http://schemas.openxmlformats.org/officeDocument/2006/relationships/image" Target="media/image5.png"/><Relationship Id="rId36" Type="http://schemas.openxmlformats.org/officeDocument/2006/relationships/image" Target="media/image8.emf"/><Relationship Id="rId49" Type="http://schemas.openxmlformats.org/officeDocument/2006/relationships/hyperlink" Target="https://euc-word-edit.officeapps.live.com/we/wordeditorframe.aspx?ui=en%2DUS&amp;rs=en%2DZA&amp;wopisrc=https%3A%2F%2Funicef.sharepoint.com%2Fteams%2FNER-PMNE%2F_vti_bin%2Fwopi.ashx%2Ffiles%2Fca3dd4b206b041daaf8a8af789eb47bb&amp;wdlor=c76D34465%2d3C23%2d4768%2dA0BE%2d8678945E0098&amp;wdenableroaming=1&amp;mscc=1&amp;hid=5C180CA0-A000-3000-68F3-2D1D88A2CEF9&amp;wdorigin=Other&amp;jsapi=1&amp;jsapiver=v1&amp;newsession=1&amp;corrid=c8787042-2aad-459b-6201-f7f5d202d1b7&amp;usid=c8787042-2aad-459b-6201-f7f5d202d1b7&amp;sftc=1&amp;mtf=1&amp;sfp=1&amp;csc=1&amp;instantedit=1&amp;wopicomplete=1&amp;wdredirectionreason=Unified_SingleFlush&amp;preseededsessionkey=6a69c791-7024-f0cf-6921-a628094d3402&amp;preseededwacsessionid=c8787042-2aad-459b-6201-f7f5d202d1b7&amp;rct=Medium&amp;ctp=LeastProtected" TargetMode="External"/><Relationship Id="rId57" Type="http://schemas.openxmlformats.org/officeDocument/2006/relationships/footer" Target="footer1.xml"/><Relationship Id="rId10" Type="http://schemas.openxmlformats.org/officeDocument/2006/relationships/hyperlink" Target="http://www.toupie.org/Dictionnaire/Hierarchie_normes.htm" TargetMode="External"/><Relationship Id="rId31" Type="http://schemas.openxmlformats.org/officeDocument/2006/relationships/chart" Target="charts/chart1.xml"/><Relationship Id="rId44" Type="http://schemas.openxmlformats.org/officeDocument/2006/relationships/hyperlink" Target="https://euc-word-edit.officeapps.live.com/we/wordeditorframe.aspx?ui=en%2DUS&amp;rs=en%2DZA&amp;wopisrc=https%3A%2F%2Funicef.sharepoint.com%2Fteams%2FNER-PMNE%2F_vti_bin%2Fwopi.ashx%2Ffiles%2Fca3dd4b206b041daaf8a8af789eb47bb&amp;wdlor=c76D34465%2d3C23%2d4768%2dA0BE%2d8678945E0098&amp;wdenableroaming=1&amp;mscc=1&amp;hid=5C180CA0-A000-3000-68F3-2D1D88A2CEF9&amp;wdorigin=Other&amp;jsapi=1&amp;jsapiver=v1&amp;newsession=1&amp;corrid=c8787042-2aad-459b-6201-f7f5d202d1b7&amp;usid=c8787042-2aad-459b-6201-f7f5d202d1b7&amp;sftc=1&amp;mtf=1&amp;sfp=1&amp;csc=1&amp;instantedit=1&amp;wopicomplete=1&amp;wdredirectionreason=Unified_SingleFlush&amp;preseededsessionkey=6a69c791-7024-f0cf-6921-a628094d3402&amp;preseededwacsessionid=c8787042-2aad-459b-6201-f7f5d202d1b7&amp;rct=Medium&amp;ctp=LeastProtected" TargetMode="External"/><Relationship Id="rId52" Type="http://schemas.openxmlformats.org/officeDocument/2006/relationships/image" Target="media/image13.png"/></Relationships>
</file>

<file path=word/_rels/footnotes.xml.rels><?xml version="1.0" encoding="UTF-8" standalone="yes"?>
<Relationships xmlns="http://schemas.openxmlformats.org/package/2006/relationships"><Relationship Id="rId8" Type="http://schemas.openxmlformats.org/officeDocument/2006/relationships/hyperlink" Target="https://www.imf.org/en/Publications/CR/Issues/2016/12/30/Niger-Enhanced-Initiative-for-Heavily-Indebted-Poor-Countries-Completion-Point-Document-17452" TargetMode="External"/><Relationship Id="rId13" Type="http://schemas.openxmlformats.org/officeDocument/2006/relationships/hyperlink" Target="https://www.civicus.org/index.php/media-resources/news/united-nations/geneva/5320-niger-adoption-of-universal-periodic-review-on-human-rights" TargetMode="External"/><Relationship Id="rId3" Type="http://schemas.openxmlformats.org/officeDocument/2006/relationships/hyperlink" Target="https://stats.oecd.org/viewhtml.aspx?datasetcode=REVNER&amp;lang=en" TargetMode="External"/><Relationship Id="rId7" Type="http://schemas.openxmlformats.org/officeDocument/2006/relationships/hyperlink" Target="https://www.worldbank.org/en/topic/debt/brief/covid-19-debt-service-suspension-initiative" TargetMode="External"/><Relationship Id="rId12" Type="http://schemas.openxmlformats.org/officeDocument/2006/relationships/hyperlink" Target="https://www.civicus.org/index.php/media-resources/news/united-nations/geneva/5320-niger-adoption-of-universal-periodic-review-on-human-rights" TargetMode="External"/><Relationship Id="rId2" Type="http://schemas.openxmlformats.org/officeDocument/2006/relationships/hyperlink" Target="https://publications.iom.int/system/files/pdf/iom-niger-four-year-report.pdf" TargetMode="External"/><Relationship Id="rId1" Type="http://schemas.openxmlformats.org/officeDocument/2006/relationships/hyperlink" Target="https://eur02.safelinks.protection.outlook.com/?url=https%3A%2F%2Fwww.un.org%2Fen%2Fdevelopment%2Fdesa%2Fpopulation%2Fmigration%2Fdata%2Festimates2%2Fcountryprofiles.asp&amp;data=04%7C01%7Cchatekmangoh%40iom.int%7Cf2bce80275534e821d1e08d9f2b8cd32%7C1588262d23fb43b4bd6ebce49c8e6186%7C1%7C0%7C637807697792181859%7CUnknown%7CTWFpbGZsb3d8eyJWIjoiMC4wLjAwMDAiLCJQIjoiV2luMzIiLCJBTiI6Ik1haWwiLCJXVCI6Mn0%3D%7C3000&amp;sdata=xgRWSm6F1hHR50sGXWl%2BnwUc%2BfbpbG61TIXSLXdQbjk%3D&amp;reserved=0" TargetMode="External"/><Relationship Id="rId6" Type="http://schemas.openxmlformats.org/officeDocument/2006/relationships/hyperlink" Target="https://unctad.org/system/files/official-document/wir2020_en.pdf" TargetMode="External"/><Relationship Id="rId11" Type="http://schemas.openxmlformats.org/officeDocument/2006/relationships/hyperlink" Target="https://datatopics.worldbank.org/debt/ids/" TargetMode="External"/><Relationship Id="rId5" Type="http://schemas.openxmlformats.org/officeDocument/2006/relationships/hyperlink" Target="https://data.worldbank.org/indicator/BX.KLT.DINV.WD.GD.ZS?locations=NE" TargetMode="External"/><Relationship Id="rId10" Type="http://schemas.openxmlformats.org/officeDocument/2006/relationships/hyperlink" Target="https://data.worldbank.org/indicator/DT.TDS.DECT.EX.ZS?locations=NE" TargetMode="External"/><Relationship Id="rId4" Type="http://schemas.openxmlformats.org/officeDocument/2006/relationships/hyperlink" Target="https://www.statista.com/statistics/448632/niger-budget-balance-in-relation-to-gdp/" TargetMode="External"/><Relationship Id="rId9" Type="http://schemas.openxmlformats.org/officeDocument/2006/relationships/hyperlink" Target="https://www.imf.org/external/np/fin/tad/extrans2.aspx?memberKey1=730&amp;valueDate=2020&amp;yearType=C&amp;acctType1=GRASDA&amp;extrans_flag=Y"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7.xlsx"/><Relationship Id="rId2" Type="http://schemas.microsoft.com/office/2011/relationships/chartColorStyle" Target="colors8.xml"/><Relationship Id="rId1" Type="http://schemas.microsoft.com/office/2011/relationships/chartStyle" Target="style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r>
              <a:rPr lang="fr-FR" sz="1050"/>
              <a:t>Niger:Pourcentage</a:t>
            </a:r>
            <a:r>
              <a:rPr lang="fr-FR" sz="1050" baseline="0"/>
              <a:t> d'emplois par secteur (2015-2019)</a:t>
            </a:r>
            <a:endParaRPr lang="fr-FR" sz="1050"/>
          </a:p>
        </c:rich>
      </c:tx>
      <c:overlay val="0"/>
      <c:spPr>
        <a:noFill/>
        <a:ln>
          <a:noFill/>
        </a:ln>
        <a:effectLst/>
      </c:spPr>
      <c:txPr>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stacked"/>
        <c:varyColors val="0"/>
        <c:ser>
          <c:idx val="0"/>
          <c:order val="0"/>
          <c:tx>
            <c:strRef>
              <c:f>Feuil1!$D$3</c:f>
              <c:strCache>
                <c:ptCount val="1"/>
                <c:pt idx="0">
                  <c:v>Emplois dans l’agriculture (% du total des emplois)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Feuil1!$C$4:$C$8</c:f>
              <c:numCache>
                <c:formatCode>General</c:formatCode>
                <c:ptCount val="5"/>
                <c:pt idx="0">
                  <c:v>2015</c:v>
                </c:pt>
                <c:pt idx="1">
                  <c:v>2016</c:v>
                </c:pt>
                <c:pt idx="2">
                  <c:v>2017</c:v>
                </c:pt>
                <c:pt idx="3">
                  <c:v>2018</c:v>
                </c:pt>
                <c:pt idx="4">
                  <c:v>2019</c:v>
                </c:pt>
              </c:numCache>
            </c:numRef>
          </c:cat>
          <c:val>
            <c:numRef>
              <c:f>Feuil1!$D$4:$D$8</c:f>
              <c:numCache>
                <c:formatCode>0.0</c:formatCode>
                <c:ptCount val="5"/>
                <c:pt idx="0">
                  <c:v>73.769996643066406</c:v>
                </c:pt>
                <c:pt idx="1">
                  <c:v>73.480003356933594</c:v>
                </c:pt>
                <c:pt idx="2">
                  <c:v>73.220001220703097</c:v>
                </c:pt>
                <c:pt idx="3">
                  <c:v>72.860000610351605</c:v>
                </c:pt>
                <c:pt idx="4">
                  <c:v>72.540000915527301</c:v>
                </c:pt>
              </c:numCache>
            </c:numRef>
          </c:val>
          <c:extLst>
            <c:ext xmlns:c16="http://schemas.microsoft.com/office/drawing/2014/chart" uri="{C3380CC4-5D6E-409C-BE32-E72D297353CC}">
              <c16:uniqueId val="{00000000-D5C0-4095-8FD3-762F995F1BA0}"/>
            </c:ext>
          </c:extLst>
        </c:ser>
        <c:ser>
          <c:idx val="1"/>
          <c:order val="1"/>
          <c:tx>
            <c:strRef>
              <c:f>Feuil1!$E$3</c:f>
              <c:strCache>
                <c:ptCount val="1"/>
                <c:pt idx="0">
                  <c:v>Emplois dans l’industrie (% du total des emplois)</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Feuil1!$C$4:$C$8</c:f>
              <c:numCache>
                <c:formatCode>General</c:formatCode>
                <c:ptCount val="5"/>
                <c:pt idx="0">
                  <c:v>2015</c:v>
                </c:pt>
                <c:pt idx="1">
                  <c:v>2016</c:v>
                </c:pt>
                <c:pt idx="2">
                  <c:v>2017</c:v>
                </c:pt>
                <c:pt idx="3">
                  <c:v>2018</c:v>
                </c:pt>
                <c:pt idx="4">
                  <c:v>2019</c:v>
                </c:pt>
              </c:numCache>
            </c:numRef>
          </c:cat>
          <c:val>
            <c:numRef>
              <c:f>Feuil1!$E$4:$E$8</c:f>
              <c:numCache>
                <c:formatCode>0.0</c:formatCode>
                <c:ptCount val="5"/>
                <c:pt idx="0">
                  <c:v>6.9800000190734899</c:v>
                </c:pt>
                <c:pt idx="1">
                  <c:v>6.9099998474121103</c:v>
                </c:pt>
                <c:pt idx="2">
                  <c:v>6.8499999046325701</c:v>
                </c:pt>
                <c:pt idx="3">
                  <c:v>6.7800002098083496</c:v>
                </c:pt>
                <c:pt idx="4">
                  <c:v>6.71000003814697</c:v>
                </c:pt>
              </c:numCache>
            </c:numRef>
          </c:val>
          <c:extLst>
            <c:ext xmlns:c16="http://schemas.microsoft.com/office/drawing/2014/chart" uri="{C3380CC4-5D6E-409C-BE32-E72D297353CC}">
              <c16:uniqueId val="{00000001-D5C0-4095-8FD3-762F995F1BA0}"/>
            </c:ext>
          </c:extLst>
        </c:ser>
        <c:ser>
          <c:idx val="2"/>
          <c:order val="2"/>
          <c:tx>
            <c:strRef>
              <c:f>Feuil1!$F$3</c:f>
              <c:strCache>
                <c:ptCount val="1"/>
                <c:pt idx="0">
                  <c:v>Emplois dans les services (% du total des emplois) </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Feuil1!$C$4:$C$8</c:f>
              <c:numCache>
                <c:formatCode>General</c:formatCode>
                <c:ptCount val="5"/>
                <c:pt idx="0">
                  <c:v>2015</c:v>
                </c:pt>
                <c:pt idx="1">
                  <c:v>2016</c:v>
                </c:pt>
                <c:pt idx="2">
                  <c:v>2017</c:v>
                </c:pt>
                <c:pt idx="3">
                  <c:v>2018</c:v>
                </c:pt>
                <c:pt idx="4">
                  <c:v>2019</c:v>
                </c:pt>
              </c:numCache>
            </c:numRef>
          </c:cat>
          <c:val>
            <c:numRef>
              <c:f>Feuil1!$F$4:$F$8</c:f>
              <c:numCache>
                <c:formatCode>0.0</c:formatCode>
                <c:ptCount val="5"/>
                <c:pt idx="0">
                  <c:v>19.2600002288818</c:v>
                </c:pt>
                <c:pt idx="1">
                  <c:v>19.610000610351602</c:v>
                </c:pt>
                <c:pt idx="2">
                  <c:v>19.940000534057599</c:v>
                </c:pt>
                <c:pt idx="3">
                  <c:v>20.360000610351602</c:v>
                </c:pt>
                <c:pt idx="4">
                  <c:v>20.75</c:v>
                </c:pt>
              </c:numCache>
            </c:numRef>
          </c:val>
          <c:extLst>
            <c:ext xmlns:c16="http://schemas.microsoft.com/office/drawing/2014/chart" uri="{C3380CC4-5D6E-409C-BE32-E72D297353CC}">
              <c16:uniqueId val="{00000002-D5C0-4095-8FD3-762F995F1BA0}"/>
            </c:ext>
          </c:extLst>
        </c:ser>
        <c:dLbls>
          <c:dLblPos val="ctr"/>
          <c:showLegendKey val="0"/>
          <c:showVal val="1"/>
          <c:showCatName val="0"/>
          <c:showSerName val="0"/>
          <c:showPercent val="0"/>
          <c:showBubbleSize val="0"/>
        </c:dLbls>
        <c:gapWidth val="79"/>
        <c:overlap val="100"/>
        <c:axId val="403785792"/>
        <c:axId val="403785400"/>
      </c:barChart>
      <c:catAx>
        <c:axId val="403785792"/>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fr-FR"/>
          </a:p>
        </c:txPr>
        <c:crossAx val="403785400"/>
        <c:crosses val="autoZero"/>
        <c:auto val="1"/>
        <c:lblAlgn val="ctr"/>
        <c:lblOffset val="100"/>
        <c:noMultiLvlLbl val="0"/>
      </c:catAx>
      <c:valAx>
        <c:axId val="403785400"/>
        <c:scaling>
          <c:orientation val="minMax"/>
        </c:scaling>
        <c:delete val="1"/>
        <c:axPos val="l"/>
        <c:numFmt formatCode="0.0" sourceLinked="1"/>
        <c:majorTickMark val="none"/>
        <c:minorTickMark val="none"/>
        <c:tickLblPos val="nextTo"/>
        <c:crossAx val="403785792"/>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r>
              <a:rPr lang="fr-FR" sz="1000"/>
              <a:t>NIGER:POURCENTAGE DE FEMMES EMPLOYEES</a:t>
            </a:r>
            <a:r>
              <a:rPr lang="fr-FR" sz="1000" baseline="0"/>
              <a:t> PAR SECTEUR (2015-2019) </a:t>
            </a:r>
            <a:endParaRPr lang="fr-FR" sz="1000"/>
          </a:p>
        </c:rich>
      </c:tx>
      <c:overlay val="0"/>
      <c:spPr>
        <a:noFill/>
        <a:ln>
          <a:noFill/>
        </a:ln>
        <a:effectLst/>
      </c:spPr>
      <c:txPr>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stacked"/>
        <c:varyColors val="0"/>
        <c:ser>
          <c:idx val="0"/>
          <c:order val="0"/>
          <c:tx>
            <c:strRef>
              <c:f>Feuil2!$C$4</c:f>
              <c:strCache>
                <c:ptCount val="1"/>
                <c:pt idx="0">
                  <c:v>Employées, agriculture, femmes (% d’emploi des femmes) </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Feuil2!$B$5:$B$9</c:f>
              <c:numCache>
                <c:formatCode>General</c:formatCode>
                <c:ptCount val="5"/>
                <c:pt idx="0">
                  <c:v>2015</c:v>
                </c:pt>
                <c:pt idx="1">
                  <c:v>2016</c:v>
                </c:pt>
                <c:pt idx="2">
                  <c:v>2017</c:v>
                </c:pt>
                <c:pt idx="3">
                  <c:v>2018</c:v>
                </c:pt>
                <c:pt idx="4">
                  <c:v>2019</c:v>
                </c:pt>
              </c:numCache>
            </c:numRef>
          </c:cat>
          <c:val>
            <c:numRef>
              <c:f>Feuil2!$C$5:$C$9</c:f>
              <c:numCache>
                <c:formatCode>0.0</c:formatCode>
                <c:ptCount val="5"/>
                <c:pt idx="0">
                  <c:v>71.669998168945298</c:v>
                </c:pt>
                <c:pt idx="1">
                  <c:v>71.040000915527301</c:v>
                </c:pt>
                <c:pt idx="2">
                  <c:v>70.629997253417997</c:v>
                </c:pt>
                <c:pt idx="3">
                  <c:v>69.940002441406307</c:v>
                </c:pt>
                <c:pt idx="4">
                  <c:v>69.470001220703097</c:v>
                </c:pt>
              </c:numCache>
            </c:numRef>
          </c:val>
          <c:extLst>
            <c:ext xmlns:c16="http://schemas.microsoft.com/office/drawing/2014/chart" uri="{C3380CC4-5D6E-409C-BE32-E72D297353CC}">
              <c16:uniqueId val="{00000000-8693-467E-9E20-0DFA35B1FE1B}"/>
            </c:ext>
          </c:extLst>
        </c:ser>
        <c:ser>
          <c:idx val="1"/>
          <c:order val="1"/>
          <c:tx>
            <c:strRef>
              <c:f>Feuil2!$D$4</c:f>
              <c:strCache>
                <c:ptCount val="1"/>
                <c:pt idx="0">
                  <c:v>Employées, industrie, femmes (% d’emploi des femmes) </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Feuil2!$B$5:$B$9</c:f>
              <c:numCache>
                <c:formatCode>General</c:formatCode>
                <c:ptCount val="5"/>
                <c:pt idx="0">
                  <c:v>2015</c:v>
                </c:pt>
                <c:pt idx="1">
                  <c:v>2016</c:v>
                </c:pt>
                <c:pt idx="2">
                  <c:v>2017</c:v>
                </c:pt>
                <c:pt idx="3">
                  <c:v>2018</c:v>
                </c:pt>
                <c:pt idx="4">
                  <c:v>2019</c:v>
                </c:pt>
              </c:numCache>
            </c:numRef>
          </c:cat>
          <c:val>
            <c:numRef>
              <c:f>Feuil2!$D$5:$D$9</c:f>
              <c:numCache>
                <c:formatCode>0.0</c:formatCode>
                <c:ptCount val="5"/>
                <c:pt idx="0">
                  <c:v>9.6899995803833008</c:v>
                </c:pt>
                <c:pt idx="1">
                  <c:v>9.6300001144409197</c:v>
                </c:pt>
                <c:pt idx="2">
                  <c:v>9.5299997329711896</c:v>
                </c:pt>
                <c:pt idx="3">
                  <c:v>9.4499998092651403</c:v>
                </c:pt>
                <c:pt idx="4">
                  <c:v>9.3500003814697301</c:v>
                </c:pt>
              </c:numCache>
            </c:numRef>
          </c:val>
          <c:extLst>
            <c:ext xmlns:c16="http://schemas.microsoft.com/office/drawing/2014/chart" uri="{C3380CC4-5D6E-409C-BE32-E72D297353CC}">
              <c16:uniqueId val="{00000001-8693-467E-9E20-0DFA35B1FE1B}"/>
            </c:ext>
          </c:extLst>
        </c:ser>
        <c:ser>
          <c:idx val="2"/>
          <c:order val="2"/>
          <c:tx>
            <c:strRef>
              <c:f>Feuil2!$E$4</c:f>
              <c:strCache>
                <c:ptCount val="1"/>
                <c:pt idx="0">
                  <c:v>Employées, services, femmes (% d’emploi des femmes) </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Feuil2!$B$5:$B$9</c:f>
              <c:numCache>
                <c:formatCode>General</c:formatCode>
                <c:ptCount val="5"/>
                <c:pt idx="0">
                  <c:v>2015</c:v>
                </c:pt>
                <c:pt idx="1">
                  <c:v>2016</c:v>
                </c:pt>
                <c:pt idx="2">
                  <c:v>2017</c:v>
                </c:pt>
                <c:pt idx="3">
                  <c:v>2018</c:v>
                </c:pt>
                <c:pt idx="4">
                  <c:v>2019</c:v>
                </c:pt>
              </c:numCache>
            </c:numRef>
          </c:cat>
          <c:val>
            <c:numRef>
              <c:f>Feuil2!$E$5:$E$9</c:f>
              <c:numCache>
                <c:formatCode>0.0</c:formatCode>
                <c:ptCount val="5"/>
                <c:pt idx="0">
                  <c:v>17.363000869751001</c:v>
                </c:pt>
                <c:pt idx="1">
                  <c:v>17.837999343872099</c:v>
                </c:pt>
                <c:pt idx="2">
                  <c:v>18.294000625610401</c:v>
                </c:pt>
                <c:pt idx="3">
                  <c:v>18.736000061035199</c:v>
                </c:pt>
                <c:pt idx="4">
                  <c:v>19.1709995269775</c:v>
                </c:pt>
              </c:numCache>
            </c:numRef>
          </c:val>
          <c:extLst>
            <c:ext xmlns:c16="http://schemas.microsoft.com/office/drawing/2014/chart" uri="{C3380CC4-5D6E-409C-BE32-E72D297353CC}">
              <c16:uniqueId val="{00000002-8693-467E-9E20-0DFA35B1FE1B}"/>
            </c:ext>
          </c:extLst>
        </c:ser>
        <c:dLbls>
          <c:dLblPos val="ctr"/>
          <c:showLegendKey val="0"/>
          <c:showVal val="1"/>
          <c:showCatName val="0"/>
          <c:showSerName val="0"/>
          <c:showPercent val="0"/>
          <c:showBubbleSize val="0"/>
        </c:dLbls>
        <c:gapWidth val="79"/>
        <c:overlap val="100"/>
        <c:axId val="403787752"/>
        <c:axId val="328601568"/>
      </c:barChart>
      <c:catAx>
        <c:axId val="403787752"/>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fr-FR"/>
          </a:p>
        </c:txPr>
        <c:crossAx val="328601568"/>
        <c:crosses val="autoZero"/>
        <c:auto val="1"/>
        <c:lblAlgn val="ctr"/>
        <c:lblOffset val="100"/>
        <c:noMultiLvlLbl val="0"/>
      </c:catAx>
      <c:valAx>
        <c:axId val="328601568"/>
        <c:scaling>
          <c:orientation val="minMax"/>
        </c:scaling>
        <c:delete val="1"/>
        <c:axPos val="l"/>
        <c:numFmt formatCode="0.0" sourceLinked="1"/>
        <c:majorTickMark val="none"/>
        <c:minorTickMark val="none"/>
        <c:tickLblPos val="nextTo"/>
        <c:crossAx val="4037877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r>
              <a:rPr lang="fr-FR" sz="1000"/>
              <a:t>NIGER:POURCENTAGE HOMMES EMPLOYES PAR SECTEUR (2015-2019)</a:t>
            </a:r>
          </a:p>
        </c:rich>
      </c:tx>
      <c:overlay val="0"/>
      <c:spPr>
        <a:noFill/>
        <a:ln>
          <a:noFill/>
        </a:ln>
        <a:effectLst/>
      </c:spPr>
      <c:txPr>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stacked"/>
        <c:varyColors val="0"/>
        <c:ser>
          <c:idx val="0"/>
          <c:order val="0"/>
          <c:tx>
            <c:strRef>
              <c:f>'FEMMES ET HOMMES'!$C$13</c:f>
              <c:strCache>
                <c:ptCount val="1"/>
                <c:pt idx="0">
                  <c:v>Employés, agriculture, hommes (% d’emploi des hommes)</c:v>
                </c:pt>
              </c:strCache>
            </c:strRef>
          </c:tx>
          <c:spPr>
            <a:solidFill>
              <a:srgbClr val="7030A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'FEMMES ET HOMMES'!$B$14:$B$18</c:f>
              <c:numCache>
                <c:formatCode>General</c:formatCode>
                <c:ptCount val="5"/>
                <c:pt idx="0">
                  <c:v>2015</c:v>
                </c:pt>
                <c:pt idx="1">
                  <c:v>2016</c:v>
                </c:pt>
                <c:pt idx="2">
                  <c:v>2017</c:v>
                </c:pt>
                <c:pt idx="3">
                  <c:v>2018</c:v>
                </c:pt>
                <c:pt idx="4">
                  <c:v>2019</c:v>
                </c:pt>
              </c:numCache>
            </c:numRef>
          </c:cat>
          <c:val>
            <c:numRef>
              <c:f>'FEMMES ET HOMMES'!$C$14:$C$18</c:f>
              <c:numCache>
                <c:formatCode>0.0</c:formatCode>
                <c:ptCount val="5"/>
                <c:pt idx="0">
                  <c:v>75.319999694824205</c:v>
                </c:pt>
                <c:pt idx="1">
                  <c:v>75.290000915527301</c:v>
                </c:pt>
                <c:pt idx="2">
                  <c:v>75.129997253417997</c:v>
                </c:pt>
                <c:pt idx="3">
                  <c:v>75.019996643066406</c:v>
                </c:pt>
                <c:pt idx="4">
                  <c:v>74.790000915527301</c:v>
                </c:pt>
              </c:numCache>
            </c:numRef>
          </c:val>
          <c:extLst>
            <c:ext xmlns:c16="http://schemas.microsoft.com/office/drawing/2014/chart" uri="{C3380CC4-5D6E-409C-BE32-E72D297353CC}">
              <c16:uniqueId val="{00000000-D27C-469D-8641-8546C53A94A5}"/>
            </c:ext>
          </c:extLst>
        </c:ser>
        <c:ser>
          <c:idx val="1"/>
          <c:order val="1"/>
          <c:tx>
            <c:strRef>
              <c:f>'FEMMES ET HOMMES'!$D$13</c:f>
              <c:strCache>
                <c:ptCount val="1"/>
                <c:pt idx="0">
                  <c:v>Employés, industrie, hommes (% d’emploi des hommes) </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'FEMMES ET HOMMES'!$B$14:$B$18</c:f>
              <c:numCache>
                <c:formatCode>General</c:formatCode>
                <c:ptCount val="5"/>
                <c:pt idx="0">
                  <c:v>2015</c:v>
                </c:pt>
                <c:pt idx="1">
                  <c:v>2016</c:v>
                </c:pt>
                <c:pt idx="2">
                  <c:v>2017</c:v>
                </c:pt>
                <c:pt idx="3">
                  <c:v>2018</c:v>
                </c:pt>
                <c:pt idx="4">
                  <c:v>2019</c:v>
                </c:pt>
              </c:numCache>
            </c:numRef>
          </c:cat>
          <c:val>
            <c:numRef>
              <c:f>'FEMMES ET HOMMES'!$D$14:$D$18</c:f>
              <c:numCache>
                <c:formatCode>0.0</c:formatCode>
                <c:ptCount val="5"/>
                <c:pt idx="0">
                  <c:v>4.4499998092651403</c:v>
                </c:pt>
                <c:pt idx="1">
                  <c:v>4.40700006484985</c:v>
                </c:pt>
                <c:pt idx="2">
                  <c:v>4.3870000839233398</c:v>
                </c:pt>
                <c:pt idx="3">
                  <c:v>4.3819999694824201</c:v>
                </c:pt>
                <c:pt idx="4">
                  <c:v>4.3979997634887704</c:v>
                </c:pt>
              </c:numCache>
            </c:numRef>
          </c:val>
          <c:extLst>
            <c:ext xmlns:c16="http://schemas.microsoft.com/office/drawing/2014/chart" uri="{C3380CC4-5D6E-409C-BE32-E72D297353CC}">
              <c16:uniqueId val="{00000001-D27C-469D-8641-8546C53A94A5}"/>
            </c:ext>
          </c:extLst>
        </c:ser>
        <c:ser>
          <c:idx val="2"/>
          <c:order val="2"/>
          <c:tx>
            <c:strRef>
              <c:f>'FEMMES ET HOMMES'!$E$13</c:f>
              <c:strCache>
                <c:ptCount val="1"/>
                <c:pt idx="0">
                  <c:v>Employés, services, hommes (% d’emploi des hommes) </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'FEMMES ET HOMMES'!$B$14:$B$18</c:f>
              <c:numCache>
                <c:formatCode>General</c:formatCode>
                <c:ptCount val="5"/>
                <c:pt idx="0">
                  <c:v>2015</c:v>
                </c:pt>
                <c:pt idx="1">
                  <c:v>2016</c:v>
                </c:pt>
                <c:pt idx="2">
                  <c:v>2017</c:v>
                </c:pt>
                <c:pt idx="3">
                  <c:v>2018</c:v>
                </c:pt>
                <c:pt idx="4">
                  <c:v>2019</c:v>
                </c:pt>
              </c:numCache>
            </c:numRef>
          </c:cat>
          <c:val>
            <c:numRef>
              <c:f>'FEMMES ET HOMMES'!$E$14:$E$18</c:f>
              <c:numCache>
                <c:formatCode>0.0</c:formatCode>
                <c:ptCount val="5"/>
                <c:pt idx="0">
                  <c:v>16.2439994812012</c:v>
                </c:pt>
                <c:pt idx="1">
                  <c:v>16.3059997558594</c:v>
                </c:pt>
                <c:pt idx="2">
                  <c:v>16.4179992675781</c:v>
                </c:pt>
                <c:pt idx="3">
                  <c:v>16.5559997558594</c:v>
                </c:pt>
                <c:pt idx="4">
                  <c:v>16.6909999847412</c:v>
                </c:pt>
              </c:numCache>
            </c:numRef>
          </c:val>
          <c:extLst>
            <c:ext xmlns:c16="http://schemas.microsoft.com/office/drawing/2014/chart" uri="{C3380CC4-5D6E-409C-BE32-E72D297353CC}">
              <c16:uniqueId val="{00000002-D27C-469D-8641-8546C53A94A5}"/>
            </c:ext>
          </c:extLst>
        </c:ser>
        <c:dLbls>
          <c:dLblPos val="ctr"/>
          <c:showLegendKey val="0"/>
          <c:showVal val="1"/>
          <c:showCatName val="0"/>
          <c:showSerName val="0"/>
          <c:showPercent val="0"/>
          <c:showBubbleSize val="0"/>
        </c:dLbls>
        <c:gapWidth val="79"/>
        <c:overlap val="100"/>
        <c:axId val="328603920"/>
        <c:axId val="328600784"/>
      </c:barChart>
      <c:catAx>
        <c:axId val="32860392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fr-FR"/>
          </a:p>
        </c:txPr>
        <c:crossAx val="328600784"/>
        <c:crosses val="autoZero"/>
        <c:auto val="1"/>
        <c:lblAlgn val="ctr"/>
        <c:lblOffset val="100"/>
        <c:noMultiLvlLbl val="0"/>
      </c:catAx>
      <c:valAx>
        <c:axId val="328600784"/>
        <c:scaling>
          <c:orientation val="minMax"/>
        </c:scaling>
        <c:delete val="1"/>
        <c:axPos val="l"/>
        <c:numFmt formatCode="0.0" sourceLinked="1"/>
        <c:majorTickMark val="none"/>
        <c:minorTickMark val="none"/>
        <c:tickLblPos val="nextTo"/>
        <c:crossAx val="3286039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en-US" sz="1200">
                <a:latin typeface="Times New Roman" panose="02020603050405020304" pitchFamily="18" charset="0"/>
                <a:cs typeface="Times New Roman" panose="02020603050405020304" pitchFamily="18" charset="0"/>
              </a:rPr>
              <a:t>EVOLUTION DU TAUX D'INFLATION DU NIGER: 2010-2020</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fr-FR"/>
        </a:p>
      </c:txPr>
    </c:title>
    <c:autoTitleDeleted val="0"/>
    <c:plotArea>
      <c:layout/>
      <c:scatterChart>
        <c:scatterStyle val="lineMarker"/>
        <c:varyColors val="0"/>
        <c:ser>
          <c:idx val="0"/>
          <c:order val="0"/>
          <c:tx>
            <c:strRef>
              <c:f>'TAUX INFLATION NIGER UEMOA'!$B$3</c:f>
              <c:strCache>
                <c:ptCount val="1"/>
                <c:pt idx="0">
                  <c:v>NIGER</c:v>
                </c:pt>
              </c:strCache>
            </c:strRef>
          </c:tx>
          <c:spPr>
            <a:ln w="9525" cap="rnd">
              <a:solidFill>
                <a:schemeClr val="accent1"/>
              </a:solidFill>
              <a:round/>
            </a:ln>
            <a:effectLst>
              <a:outerShdw blurRad="57150" dist="19050" dir="5400000" algn="ctr" rotWithShape="0">
                <a:srgbClr val="000000">
                  <a:alpha val="63000"/>
                </a:srgbClr>
              </a:outerShdw>
            </a:effectLst>
          </c:spPr>
          <c:marker>
            <c:symbol val="circle"/>
            <c:size val="6"/>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w="9525" cap="rnd">
                <a:solidFill>
                  <a:schemeClr val="accent1"/>
                </a:solidFill>
                <a:round/>
              </a:ln>
              <a:effectLst>
                <a:outerShdw blurRad="57150" dist="19050" dir="5400000" algn="ctr" rotWithShape="0">
                  <a:srgbClr val="000000">
                    <a:alpha val="63000"/>
                  </a:srgbClr>
                </a:outerShdw>
              </a:effectLst>
            </c:spPr>
          </c:marker>
          <c:dLbls>
            <c:spPr>
              <a:solidFill>
                <a:srgbClr val="92D050"/>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f>'TAUX INFLATION NIGER UEMOA'!$A$4:$A$14</c:f>
              <c:numCache>
                <c:formatCode>General</c:formatCode>
                <c:ptCount val="11"/>
                <c:pt idx="0">
                  <c:v>2010</c:v>
                </c:pt>
                <c:pt idx="1">
                  <c:v>2011</c:v>
                </c:pt>
                <c:pt idx="2">
                  <c:v>2012</c:v>
                </c:pt>
                <c:pt idx="3">
                  <c:v>2013</c:v>
                </c:pt>
                <c:pt idx="4">
                  <c:v>2014</c:v>
                </c:pt>
                <c:pt idx="5">
                  <c:v>2015</c:v>
                </c:pt>
                <c:pt idx="6">
                  <c:v>2016</c:v>
                </c:pt>
                <c:pt idx="7">
                  <c:v>2017</c:v>
                </c:pt>
                <c:pt idx="8">
                  <c:v>2018</c:v>
                </c:pt>
                <c:pt idx="9">
                  <c:v>2019</c:v>
                </c:pt>
                <c:pt idx="10">
                  <c:v>2020</c:v>
                </c:pt>
              </c:numCache>
            </c:numRef>
          </c:xVal>
          <c:yVal>
            <c:numRef>
              <c:f>'TAUX INFLATION NIGER UEMOA'!$B$4:$B$14</c:f>
              <c:numCache>
                <c:formatCode>General</c:formatCode>
                <c:ptCount val="11"/>
                <c:pt idx="0">
                  <c:v>1</c:v>
                </c:pt>
                <c:pt idx="1">
                  <c:v>2.9</c:v>
                </c:pt>
                <c:pt idx="2">
                  <c:v>0.5</c:v>
                </c:pt>
                <c:pt idx="3">
                  <c:v>2.2999999999999998</c:v>
                </c:pt>
                <c:pt idx="4">
                  <c:v>-0.9</c:v>
                </c:pt>
                <c:pt idx="5">
                  <c:v>1</c:v>
                </c:pt>
                <c:pt idx="6">
                  <c:v>0.2</c:v>
                </c:pt>
                <c:pt idx="7">
                  <c:v>2.4</c:v>
                </c:pt>
                <c:pt idx="8">
                  <c:v>2.7</c:v>
                </c:pt>
                <c:pt idx="9">
                  <c:v>-2.5</c:v>
                </c:pt>
                <c:pt idx="10">
                  <c:v>2.9</c:v>
                </c:pt>
              </c:numCache>
            </c:numRef>
          </c:yVal>
          <c:smooth val="0"/>
          <c:extLst>
            <c:ext xmlns:c16="http://schemas.microsoft.com/office/drawing/2014/chart" uri="{C3380CC4-5D6E-409C-BE32-E72D297353CC}">
              <c16:uniqueId val="{00000000-087C-4D9D-A2E9-2D02B3AFF651}"/>
            </c:ext>
          </c:extLst>
        </c:ser>
        <c:ser>
          <c:idx val="1"/>
          <c:order val="1"/>
          <c:tx>
            <c:strRef>
              <c:f>'TAUX INFLATION NIGER UEMOA'!$C$3</c:f>
              <c:strCache>
                <c:ptCount val="1"/>
                <c:pt idx="0">
                  <c:v>UEMOA</c:v>
                </c:pt>
              </c:strCache>
            </c:strRef>
          </c:tx>
          <c:spPr>
            <a:ln w="9525" cap="rnd">
              <a:solidFill>
                <a:schemeClr val="accent2"/>
              </a:solidFill>
              <a:round/>
            </a:ln>
            <a:effectLst>
              <a:outerShdw blurRad="57150" dist="19050" dir="5400000" algn="ctr" rotWithShape="0">
                <a:srgbClr val="000000">
                  <a:alpha val="63000"/>
                </a:srgbClr>
              </a:outerShdw>
            </a:effectLst>
          </c:spPr>
          <c:marker>
            <c:symbol val="circle"/>
            <c:size val="6"/>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w="9525" cap="rnd">
                <a:solidFill>
                  <a:schemeClr val="accent2"/>
                </a:solidFill>
                <a:round/>
              </a:ln>
              <a:effectLst>
                <a:outerShdw blurRad="57150" dist="19050" dir="5400000" algn="ctr" rotWithShape="0">
                  <a:srgbClr val="000000">
                    <a:alpha val="63000"/>
                  </a:srgbClr>
                </a:outerShdw>
              </a:effectLst>
            </c:spPr>
          </c:marker>
          <c:xVal>
            <c:numRef>
              <c:f>'TAUX INFLATION NIGER UEMOA'!$A$4:$A$14</c:f>
              <c:numCache>
                <c:formatCode>General</c:formatCode>
                <c:ptCount val="11"/>
                <c:pt idx="0">
                  <c:v>2010</c:v>
                </c:pt>
                <c:pt idx="1">
                  <c:v>2011</c:v>
                </c:pt>
                <c:pt idx="2">
                  <c:v>2012</c:v>
                </c:pt>
                <c:pt idx="3">
                  <c:v>2013</c:v>
                </c:pt>
                <c:pt idx="4">
                  <c:v>2014</c:v>
                </c:pt>
                <c:pt idx="5">
                  <c:v>2015</c:v>
                </c:pt>
                <c:pt idx="6">
                  <c:v>2016</c:v>
                </c:pt>
                <c:pt idx="7">
                  <c:v>2017</c:v>
                </c:pt>
                <c:pt idx="8">
                  <c:v>2018</c:v>
                </c:pt>
                <c:pt idx="9">
                  <c:v>2019</c:v>
                </c:pt>
                <c:pt idx="10">
                  <c:v>2020</c:v>
                </c:pt>
              </c:numCache>
            </c:numRef>
          </c:xVal>
          <c:yVal>
            <c:numRef>
              <c:f>'TAUX INFLATION NIGER UEMOA'!$C$4:$C$14</c:f>
              <c:numCache>
                <c:formatCode>General</c:formatCode>
                <c:ptCount val="11"/>
                <c:pt idx="0">
                  <c:v>3</c:v>
                </c:pt>
                <c:pt idx="1">
                  <c:v>3</c:v>
                </c:pt>
                <c:pt idx="2">
                  <c:v>3</c:v>
                </c:pt>
                <c:pt idx="3">
                  <c:v>3</c:v>
                </c:pt>
                <c:pt idx="4">
                  <c:v>3</c:v>
                </c:pt>
                <c:pt idx="5">
                  <c:v>3</c:v>
                </c:pt>
                <c:pt idx="6">
                  <c:v>3</c:v>
                </c:pt>
                <c:pt idx="7">
                  <c:v>3</c:v>
                </c:pt>
                <c:pt idx="8">
                  <c:v>3</c:v>
                </c:pt>
                <c:pt idx="9">
                  <c:v>3</c:v>
                </c:pt>
                <c:pt idx="10">
                  <c:v>3</c:v>
                </c:pt>
              </c:numCache>
            </c:numRef>
          </c:yVal>
          <c:smooth val="0"/>
          <c:extLst>
            <c:ext xmlns:c16="http://schemas.microsoft.com/office/drawing/2014/chart" uri="{C3380CC4-5D6E-409C-BE32-E72D297353CC}">
              <c16:uniqueId val="{00000001-087C-4D9D-A2E9-2D02B3AFF651}"/>
            </c:ext>
          </c:extLst>
        </c:ser>
        <c:dLbls>
          <c:showLegendKey val="0"/>
          <c:showVal val="0"/>
          <c:showCatName val="0"/>
          <c:showSerName val="0"/>
          <c:showPercent val="0"/>
          <c:showBubbleSize val="0"/>
        </c:dLbls>
        <c:axId val="328601960"/>
        <c:axId val="328602352"/>
      </c:scatterChart>
      <c:valAx>
        <c:axId val="32860196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in"/>
        <c:minorTickMark val="in"/>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ln>
                  <a:noFill/>
                </a:ln>
                <a:solidFill>
                  <a:schemeClr val="tx1">
                    <a:lumMod val="65000"/>
                    <a:lumOff val="35000"/>
                  </a:schemeClr>
                </a:solidFill>
                <a:latin typeface="+mn-lt"/>
                <a:ea typeface="+mn-ea"/>
                <a:cs typeface="+mn-cs"/>
              </a:defRPr>
            </a:pPr>
            <a:endParaRPr lang="fr-FR"/>
          </a:p>
        </c:txPr>
        <c:crossAx val="328602352"/>
        <c:crosses val="autoZero"/>
        <c:crossBetween val="midCat"/>
      </c:valAx>
      <c:valAx>
        <c:axId val="32860235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28601960"/>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sz="1200" b="1"/>
              <a:t>Niger: Evolution des taux d'intéret moyen des crédits et depots (Jan 2019-Dec 2020)</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lineChart>
        <c:grouping val="standard"/>
        <c:varyColors val="0"/>
        <c:ser>
          <c:idx val="0"/>
          <c:order val="0"/>
          <c:tx>
            <c:strRef>
              <c:f>'graphiques taux interet bank'!$C$3</c:f>
              <c:strCache>
                <c:ptCount val="1"/>
                <c:pt idx="0">
                  <c:v>Taux d'interet moyen des credits accordes par les banques</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dLbls>
            <c:spPr>
              <a:solidFill>
                <a:srgbClr val="FFFF00"/>
              </a:solid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fr-FR"/>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'graphiques taux interet bank'!$B$4:$B$27</c:f>
              <c:strCache>
                <c:ptCount val="24"/>
                <c:pt idx="0">
                  <c:v>janv-19</c:v>
                </c:pt>
                <c:pt idx="1">
                  <c:v>fev-19</c:v>
                </c:pt>
                <c:pt idx="2">
                  <c:v>mars-19</c:v>
                </c:pt>
                <c:pt idx="3">
                  <c:v>avr-19</c:v>
                </c:pt>
                <c:pt idx="4">
                  <c:v>mai-19</c:v>
                </c:pt>
                <c:pt idx="5">
                  <c:v>juin-19</c:v>
                </c:pt>
                <c:pt idx="6">
                  <c:v>juil-19</c:v>
                </c:pt>
                <c:pt idx="7">
                  <c:v>Aout-19</c:v>
                </c:pt>
                <c:pt idx="8">
                  <c:v>sept-19</c:v>
                </c:pt>
                <c:pt idx="9">
                  <c:v>oct-19</c:v>
                </c:pt>
                <c:pt idx="10">
                  <c:v>nov-19</c:v>
                </c:pt>
                <c:pt idx="11">
                  <c:v>dec-19</c:v>
                </c:pt>
                <c:pt idx="12">
                  <c:v>janv-20</c:v>
                </c:pt>
                <c:pt idx="13">
                  <c:v>fev-20</c:v>
                </c:pt>
                <c:pt idx="14">
                  <c:v>mars-20</c:v>
                </c:pt>
                <c:pt idx="15">
                  <c:v>avr-20</c:v>
                </c:pt>
                <c:pt idx="16">
                  <c:v>mai-20</c:v>
                </c:pt>
                <c:pt idx="17">
                  <c:v>juin-20</c:v>
                </c:pt>
                <c:pt idx="18">
                  <c:v>juil-20</c:v>
                </c:pt>
                <c:pt idx="19">
                  <c:v>aout-20</c:v>
                </c:pt>
                <c:pt idx="20">
                  <c:v>sept-20</c:v>
                </c:pt>
                <c:pt idx="21">
                  <c:v>oct-20</c:v>
                </c:pt>
                <c:pt idx="22">
                  <c:v>nov-20</c:v>
                </c:pt>
                <c:pt idx="23">
                  <c:v>dec-20</c:v>
                </c:pt>
              </c:strCache>
            </c:strRef>
          </c:cat>
          <c:val>
            <c:numRef>
              <c:f>'graphiques taux interet bank'!$C$4:$C$27</c:f>
              <c:numCache>
                <c:formatCode>0.0</c:formatCode>
                <c:ptCount val="24"/>
                <c:pt idx="0">
                  <c:v>9.3699999999999992</c:v>
                </c:pt>
                <c:pt idx="1">
                  <c:v>9.6639999999999997</c:v>
                </c:pt>
                <c:pt idx="2">
                  <c:v>9.3550000000000004</c:v>
                </c:pt>
                <c:pt idx="3">
                  <c:v>9.4440000000000008</c:v>
                </c:pt>
                <c:pt idx="4">
                  <c:v>10.613</c:v>
                </c:pt>
                <c:pt idx="5">
                  <c:v>9.3390000000000004</c:v>
                </c:pt>
                <c:pt idx="6">
                  <c:v>9.4130000000000003</c:v>
                </c:pt>
                <c:pt idx="7">
                  <c:v>9.9329999999999998</c:v>
                </c:pt>
                <c:pt idx="8">
                  <c:v>9.8710000000000004</c:v>
                </c:pt>
                <c:pt idx="9">
                  <c:v>9.3550000000000004</c:v>
                </c:pt>
                <c:pt idx="10">
                  <c:v>9.44</c:v>
                </c:pt>
                <c:pt idx="11">
                  <c:v>8.3680000000000003</c:v>
                </c:pt>
                <c:pt idx="12">
                  <c:v>9.07</c:v>
                </c:pt>
                <c:pt idx="13">
                  <c:v>8.9700000000000006</c:v>
                </c:pt>
                <c:pt idx="14">
                  <c:v>8.93</c:v>
                </c:pt>
                <c:pt idx="15">
                  <c:v>8.7899999999999991</c:v>
                </c:pt>
                <c:pt idx="16">
                  <c:v>7.37</c:v>
                </c:pt>
                <c:pt idx="17">
                  <c:v>8.51</c:v>
                </c:pt>
                <c:pt idx="18">
                  <c:v>9.02</c:v>
                </c:pt>
                <c:pt idx="19">
                  <c:v>9.34</c:v>
                </c:pt>
                <c:pt idx="20">
                  <c:v>8.5500000000000007</c:v>
                </c:pt>
                <c:pt idx="21">
                  <c:v>8.32</c:v>
                </c:pt>
                <c:pt idx="22">
                  <c:v>8.0500000000000007</c:v>
                </c:pt>
                <c:pt idx="23">
                  <c:v>7.72</c:v>
                </c:pt>
              </c:numCache>
            </c:numRef>
          </c:val>
          <c:smooth val="0"/>
          <c:extLst>
            <c:ext xmlns:c16="http://schemas.microsoft.com/office/drawing/2014/chart" uri="{C3380CC4-5D6E-409C-BE32-E72D297353CC}">
              <c16:uniqueId val="{00000000-A96A-4FDF-BFAD-E075B6CF3F02}"/>
            </c:ext>
          </c:extLst>
        </c:ser>
        <c:ser>
          <c:idx val="1"/>
          <c:order val="1"/>
          <c:tx>
            <c:strRef>
              <c:f>'graphiques taux interet bank'!$D$3</c:f>
              <c:strCache>
                <c:ptCount val="1"/>
                <c:pt idx="0">
                  <c:v>Taux moyen de remuneration des depots aupres des banques</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dLbls>
            <c:spPr>
              <a:solidFill>
                <a:srgbClr val="92D050"/>
              </a:solid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fr-FR"/>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'graphiques taux interet bank'!$B$4:$B$27</c:f>
              <c:strCache>
                <c:ptCount val="24"/>
                <c:pt idx="0">
                  <c:v>janv-19</c:v>
                </c:pt>
                <c:pt idx="1">
                  <c:v>fev-19</c:v>
                </c:pt>
                <c:pt idx="2">
                  <c:v>mars-19</c:v>
                </c:pt>
                <c:pt idx="3">
                  <c:v>avr-19</c:v>
                </c:pt>
                <c:pt idx="4">
                  <c:v>mai-19</c:v>
                </c:pt>
                <c:pt idx="5">
                  <c:v>juin-19</c:v>
                </c:pt>
                <c:pt idx="6">
                  <c:v>juil-19</c:v>
                </c:pt>
                <c:pt idx="7">
                  <c:v>Aout-19</c:v>
                </c:pt>
                <c:pt idx="8">
                  <c:v>sept-19</c:v>
                </c:pt>
                <c:pt idx="9">
                  <c:v>oct-19</c:v>
                </c:pt>
                <c:pt idx="10">
                  <c:v>nov-19</c:v>
                </c:pt>
                <c:pt idx="11">
                  <c:v>dec-19</c:v>
                </c:pt>
                <c:pt idx="12">
                  <c:v>janv-20</c:v>
                </c:pt>
                <c:pt idx="13">
                  <c:v>fev-20</c:v>
                </c:pt>
                <c:pt idx="14">
                  <c:v>mars-20</c:v>
                </c:pt>
                <c:pt idx="15">
                  <c:v>avr-20</c:v>
                </c:pt>
                <c:pt idx="16">
                  <c:v>mai-20</c:v>
                </c:pt>
                <c:pt idx="17">
                  <c:v>juin-20</c:v>
                </c:pt>
                <c:pt idx="18">
                  <c:v>juil-20</c:v>
                </c:pt>
                <c:pt idx="19">
                  <c:v>aout-20</c:v>
                </c:pt>
                <c:pt idx="20">
                  <c:v>sept-20</c:v>
                </c:pt>
                <c:pt idx="21">
                  <c:v>oct-20</c:v>
                </c:pt>
                <c:pt idx="22">
                  <c:v>nov-20</c:v>
                </c:pt>
                <c:pt idx="23">
                  <c:v>dec-20</c:v>
                </c:pt>
              </c:strCache>
            </c:strRef>
          </c:cat>
          <c:val>
            <c:numRef>
              <c:f>'graphiques taux interet bank'!$D$4:$D$27</c:f>
              <c:numCache>
                <c:formatCode>0.0</c:formatCode>
                <c:ptCount val="24"/>
                <c:pt idx="0">
                  <c:v>5.36</c:v>
                </c:pt>
                <c:pt idx="1">
                  <c:v>5.8159999999999998</c:v>
                </c:pt>
                <c:pt idx="2">
                  <c:v>5.7859999999999996</c:v>
                </c:pt>
                <c:pt idx="3">
                  <c:v>4.8819999999999997</c:v>
                </c:pt>
                <c:pt idx="4">
                  <c:v>5.7809999999999997</c:v>
                </c:pt>
                <c:pt idx="5">
                  <c:v>5.8849999999999998</c:v>
                </c:pt>
                <c:pt idx="6">
                  <c:v>6.0709999999999997</c:v>
                </c:pt>
                <c:pt idx="7">
                  <c:v>6.0060000000000002</c:v>
                </c:pt>
                <c:pt idx="8">
                  <c:v>5.82</c:v>
                </c:pt>
                <c:pt idx="9">
                  <c:v>5.7859999999999996</c:v>
                </c:pt>
                <c:pt idx="10">
                  <c:v>6.3339999999999996</c:v>
                </c:pt>
                <c:pt idx="11">
                  <c:v>5.9409999999999998</c:v>
                </c:pt>
                <c:pt idx="12">
                  <c:v>5.49</c:v>
                </c:pt>
                <c:pt idx="13">
                  <c:v>5.95</c:v>
                </c:pt>
                <c:pt idx="14">
                  <c:v>5.75</c:v>
                </c:pt>
                <c:pt idx="15">
                  <c:v>5.31</c:v>
                </c:pt>
                <c:pt idx="16">
                  <c:v>5.96</c:v>
                </c:pt>
                <c:pt idx="17">
                  <c:v>5.33</c:v>
                </c:pt>
                <c:pt idx="18">
                  <c:v>5.2</c:v>
                </c:pt>
                <c:pt idx="19">
                  <c:v>6.15</c:v>
                </c:pt>
                <c:pt idx="20">
                  <c:v>6.31</c:v>
                </c:pt>
                <c:pt idx="21">
                  <c:v>5.01</c:v>
                </c:pt>
                <c:pt idx="22">
                  <c:v>5.31</c:v>
                </c:pt>
                <c:pt idx="23">
                  <c:v>5.09</c:v>
                </c:pt>
              </c:numCache>
            </c:numRef>
          </c:val>
          <c:smooth val="0"/>
          <c:extLst>
            <c:ext xmlns:c16="http://schemas.microsoft.com/office/drawing/2014/chart" uri="{C3380CC4-5D6E-409C-BE32-E72D297353CC}">
              <c16:uniqueId val="{00000001-A96A-4FDF-BFAD-E075B6CF3F02}"/>
            </c:ext>
          </c:extLst>
        </c:ser>
        <c:ser>
          <c:idx val="2"/>
          <c:order val="2"/>
          <c:tx>
            <c:strRef>
              <c:f>'graphiques taux interet bank'!$E$3</c:f>
              <c:strCache>
                <c:ptCount val="1"/>
                <c:pt idx="0">
                  <c:v>Taux d'interet moyen des credits aux entreprises individuelles</c:v>
                </c:pt>
              </c:strCache>
            </c:strRef>
          </c:tx>
          <c:spPr>
            <a:ln w="28575" cap="rnd">
              <a:solidFill>
                <a:srgbClr val="7030A0"/>
              </a:solidFill>
              <a:round/>
            </a:ln>
            <a:effectLst/>
          </c:spPr>
          <c:marker>
            <c:symbol val="circle"/>
            <c:size val="5"/>
            <c:spPr>
              <a:solidFill>
                <a:schemeClr val="accent3"/>
              </a:solidFill>
              <a:ln w="9525">
                <a:solidFill>
                  <a:srgbClr val="7030A0"/>
                </a:solidFill>
              </a:ln>
              <a:effectLst/>
            </c:spPr>
          </c:marker>
          <c:cat>
            <c:strRef>
              <c:f>'graphiques taux interet bank'!$B$4:$B$27</c:f>
              <c:strCache>
                <c:ptCount val="24"/>
                <c:pt idx="0">
                  <c:v>janv-19</c:v>
                </c:pt>
                <c:pt idx="1">
                  <c:v>fev-19</c:v>
                </c:pt>
                <c:pt idx="2">
                  <c:v>mars-19</c:v>
                </c:pt>
                <c:pt idx="3">
                  <c:v>avr-19</c:v>
                </c:pt>
                <c:pt idx="4">
                  <c:v>mai-19</c:v>
                </c:pt>
                <c:pt idx="5">
                  <c:v>juin-19</c:v>
                </c:pt>
                <c:pt idx="6">
                  <c:v>juil-19</c:v>
                </c:pt>
                <c:pt idx="7">
                  <c:v>Aout-19</c:v>
                </c:pt>
                <c:pt idx="8">
                  <c:v>sept-19</c:v>
                </c:pt>
                <c:pt idx="9">
                  <c:v>oct-19</c:v>
                </c:pt>
                <c:pt idx="10">
                  <c:v>nov-19</c:v>
                </c:pt>
                <c:pt idx="11">
                  <c:v>dec-19</c:v>
                </c:pt>
                <c:pt idx="12">
                  <c:v>janv-20</c:v>
                </c:pt>
                <c:pt idx="13">
                  <c:v>fev-20</c:v>
                </c:pt>
                <c:pt idx="14">
                  <c:v>mars-20</c:v>
                </c:pt>
                <c:pt idx="15">
                  <c:v>avr-20</c:v>
                </c:pt>
                <c:pt idx="16">
                  <c:v>mai-20</c:v>
                </c:pt>
                <c:pt idx="17">
                  <c:v>juin-20</c:v>
                </c:pt>
                <c:pt idx="18">
                  <c:v>juil-20</c:v>
                </c:pt>
                <c:pt idx="19">
                  <c:v>aout-20</c:v>
                </c:pt>
                <c:pt idx="20">
                  <c:v>sept-20</c:v>
                </c:pt>
                <c:pt idx="21">
                  <c:v>oct-20</c:v>
                </c:pt>
                <c:pt idx="22">
                  <c:v>nov-20</c:v>
                </c:pt>
                <c:pt idx="23">
                  <c:v>dec-20</c:v>
                </c:pt>
              </c:strCache>
            </c:strRef>
          </c:cat>
          <c:val>
            <c:numRef>
              <c:f>'graphiques taux interet bank'!$E$4:$E$27</c:f>
              <c:numCache>
                <c:formatCode>0.0</c:formatCode>
                <c:ptCount val="24"/>
                <c:pt idx="0">
                  <c:v>9.2460000000000004</c:v>
                </c:pt>
                <c:pt idx="1">
                  <c:v>10.048</c:v>
                </c:pt>
                <c:pt idx="2">
                  <c:v>8.9009999999999998</c:v>
                </c:pt>
                <c:pt idx="3">
                  <c:v>9.4689999999999994</c:v>
                </c:pt>
                <c:pt idx="4">
                  <c:v>8.7639999999999993</c:v>
                </c:pt>
                <c:pt idx="5">
                  <c:v>11.202</c:v>
                </c:pt>
                <c:pt idx="6">
                  <c:v>10.23</c:v>
                </c:pt>
                <c:pt idx="7">
                  <c:v>10.525</c:v>
                </c:pt>
                <c:pt idx="8">
                  <c:v>9.8040000000000003</c:v>
                </c:pt>
                <c:pt idx="9">
                  <c:v>8.9009999999999998</c:v>
                </c:pt>
                <c:pt idx="10">
                  <c:v>9.6539999999999999</c:v>
                </c:pt>
                <c:pt idx="11">
                  <c:v>9.4710000000000001</c:v>
                </c:pt>
                <c:pt idx="12">
                  <c:v>9.34</c:v>
                </c:pt>
                <c:pt idx="13">
                  <c:v>8.67</c:v>
                </c:pt>
                <c:pt idx="14">
                  <c:v>10.119999999999999</c:v>
                </c:pt>
                <c:pt idx="15">
                  <c:v>11.5</c:v>
                </c:pt>
                <c:pt idx="16">
                  <c:v>8.6</c:v>
                </c:pt>
                <c:pt idx="17">
                  <c:v>8.74</c:v>
                </c:pt>
                <c:pt idx="18">
                  <c:v>9.8800000000000008</c:v>
                </c:pt>
                <c:pt idx="19">
                  <c:v>9.99</c:v>
                </c:pt>
                <c:pt idx="20">
                  <c:v>9.36</c:v>
                </c:pt>
                <c:pt idx="21">
                  <c:v>8.91</c:v>
                </c:pt>
                <c:pt idx="22">
                  <c:v>9.11</c:v>
                </c:pt>
                <c:pt idx="23">
                  <c:v>8.1999999999999993</c:v>
                </c:pt>
              </c:numCache>
            </c:numRef>
          </c:val>
          <c:smooth val="0"/>
          <c:extLst>
            <c:ext xmlns:c16="http://schemas.microsoft.com/office/drawing/2014/chart" uri="{C3380CC4-5D6E-409C-BE32-E72D297353CC}">
              <c16:uniqueId val="{00000002-A96A-4FDF-BFAD-E075B6CF3F02}"/>
            </c:ext>
          </c:extLst>
        </c:ser>
        <c:dLbls>
          <c:showLegendKey val="0"/>
          <c:showVal val="0"/>
          <c:showCatName val="0"/>
          <c:showSerName val="0"/>
          <c:showPercent val="0"/>
          <c:showBubbleSize val="0"/>
        </c:dLbls>
        <c:marker val="1"/>
        <c:smooth val="0"/>
        <c:axId val="557011328"/>
        <c:axId val="557012112"/>
      </c:lineChart>
      <c:catAx>
        <c:axId val="5570113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557012112"/>
        <c:crosses val="autoZero"/>
        <c:auto val="1"/>
        <c:lblAlgn val="ctr"/>
        <c:lblOffset val="100"/>
        <c:noMultiLvlLbl val="0"/>
      </c:catAx>
      <c:valAx>
        <c:axId val="557012112"/>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5570113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sz="1100" b="1">
                <a:latin typeface="Times New Roman" panose="02020603050405020304" pitchFamily="18" charset="0"/>
                <a:cs typeface="Times New Roman" panose="02020603050405020304" pitchFamily="18" charset="0"/>
              </a:rPr>
              <a:t>EVOLUTION</a:t>
            </a:r>
            <a:r>
              <a:rPr lang="fr-FR" sz="1100" b="1" baseline="0">
                <a:latin typeface="Times New Roman" panose="02020603050405020304" pitchFamily="18" charset="0"/>
                <a:cs typeface="Times New Roman" panose="02020603050405020304" pitchFamily="18" charset="0"/>
              </a:rPr>
              <a:t> DU DEFICIT BUDGETAIRE (HORS DONS ET DONS INCLUS) EN POURCENTAGE PAR PIB DU NIGER: 2010-2020 </a:t>
            </a:r>
            <a:endParaRPr lang="fr-FR" sz="1100" b="1">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scatterChart>
        <c:scatterStyle val="lineMarker"/>
        <c:varyColors val="0"/>
        <c:ser>
          <c:idx val="0"/>
          <c:order val="0"/>
          <c:tx>
            <c:strRef>
              <c:f>'DEFICIT BUDGETAIRE'!$B$3</c:f>
              <c:strCache>
                <c:ptCount val="1"/>
                <c:pt idx="0">
                  <c:v>DEFICIT BUDGET (DONS INCLUS)</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dLbls>
            <c:spPr>
              <a:solidFill>
                <a:srgbClr val="FFC000"/>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f>'DEFICIT BUDGETAIRE'!$A$4:$A$14</c:f>
              <c:numCache>
                <c:formatCode>General</c:formatCode>
                <c:ptCount val="11"/>
                <c:pt idx="0">
                  <c:v>2010</c:v>
                </c:pt>
                <c:pt idx="1">
                  <c:v>2011</c:v>
                </c:pt>
                <c:pt idx="2">
                  <c:v>2012</c:v>
                </c:pt>
                <c:pt idx="3">
                  <c:v>2013</c:v>
                </c:pt>
                <c:pt idx="4">
                  <c:v>2014</c:v>
                </c:pt>
                <c:pt idx="5">
                  <c:v>2015</c:v>
                </c:pt>
                <c:pt idx="6">
                  <c:v>2016</c:v>
                </c:pt>
                <c:pt idx="7">
                  <c:v>2017</c:v>
                </c:pt>
                <c:pt idx="8">
                  <c:v>2018</c:v>
                </c:pt>
                <c:pt idx="9">
                  <c:v>2019</c:v>
                </c:pt>
                <c:pt idx="10">
                  <c:v>2020</c:v>
                </c:pt>
              </c:numCache>
            </c:numRef>
          </c:xVal>
          <c:yVal>
            <c:numRef>
              <c:f>'DEFICIT BUDGETAIRE'!$B$4:$B$14</c:f>
              <c:numCache>
                <c:formatCode>General</c:formatCode>
                <c:ptCount val="11"/>
                <c:pt idx="0">
                  <c:v>-2.6</c:v>
                </c:pt>
                <c:pt idx="1">
                  <c:v>-1.5</c:v>
                </c:pt>
                <c:pt idx="2">
                  <c:v>-0.9</c:v>
                </c:pt>
                <c:pt idx="3">
                  <c:v>-1.9</c:v>
                </c:pt>
                <c:pt idx="4">
                  <c:v>-6.1</c:v>
                </c:pt>
                <c:pt idx="5">
                  <c:v>-6.7</c:v>
                </c:pt>
                <c:pt idx="6">
                  <c:v>-4.5</c:v>
                </c:pt>
                <c:pt idx="7">
                  <c:v>-4.0999999999999996</c:v>
                </c:pt>
                <c:pt idx="8">
                  <c:v>-3</c:v>
                </c:pt>
                <c:pt idx="9">
                  <c:v>-3.6</c:v>
                </c:pt>
                <c:pt idx="10">
                  <c:v>-5.7</c:v>
                </c:pt>
              </c:numCache>
            </c:numRef>
          </c:yVal>
          <c:smooth val="0"/>
          <c:extLst>
            <c:ext xmlns:c16="http://schemas.microsoft.com/office/drawing/2014/chart" uri="{C3380CC4-5D6E-409C-BE32-E72D297353CC}">
              <c16:uniqueId val="{00000000-DE28-4561-8DA5-A698919161D9}"/>
            </c:ext>
          </c:extLst>
        </c:ser>
        <c:ser>
          <c:idx val="1"/>
          <c:order val="1"/>
          <c:tx>
            <c:strRef>
              <c:f>'DEFICIT BUDGETAIRE'!$C$3</c:f>
              <c:strCache>
                <c:ptCount val="1"/>
                <c:pt idx="0">
                  <c:v>DEFICIT BUDGET (HORS DONS)</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dLbls>
            <c:spPr>
              <a:solidFill>
                <a:schemeClr val="accent2">
                  <a:lumMod val="60000"/>
                  <a:lumOff val="40000"/>
                </a:schemeClr>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f>'DEFICIT BUDGETAIRE'!$A$4:$A$14</c:f>
              <c:numCache>
                <c:formatCode>General</c:formatCode>
                <c:ptCount val="11"/>
                <c:pt idx="0">
                  <c:v>2010</c:v>
                </c:pt>
                <c:pt idx="1">
                  <c:v>2011</c:v>
                </c:pt>
                <c:pt idx="2">
                  <c:v>2012</c:v>
                </c:pt>
                <c:pt idx="3">
                  <c:v>2013</c:v>
                </c:pt>
                <c:pt idx="4">
                  <c:v>2014</c:v>
                </c:pt>
                <c:pt idx="5">
                  <c:v>2015</c:v>
                </c:pt>
                <c:pt idx="6">
                  <c:v>2016</c:v>
                </c:pt>
                <c:pt idx="7">
                  <c:v>2017</c:v>
                </c:pt>
                <c:pt idx="8">
                  <c:v>2018</c:v>
                </c:pt>
                <c:pt idx="9">
                  <c:v>2019</c:v>
                </c:pt>
                <c:pt idx="10">
                  <c:v>2020</c:v>
                </c:pt>
              </c:numCache>
            </c:numRef>
          </c:xVal>
          <c:yVal>
            <c:numRef>
              <c:f>'DEFICIT BUDGETAIRE'!$C$4:$C$14</c:f>
              <c:numCache>
                <c:formatCode>General</c:formatCode>
                <c:ptCount val="11"/>
                <c:pt idx="0">
                  <c:v>-6</c:v>
                </c:pt>
                <c:pt idx="1">
                  <c:v>-4.3</c:v>
                </c:pt>
                <c:pt idx="2">
                  <c:v>-5.6</c:v>
                </c:pt>
                <c:pt idx="3">
                  <c:v>-8</c:v>
                </c:pt>
                <c:pt idx="4">
                  <c:v>-10.199999999999999</c:v>
                </c:pt>
                <c:pt idx="5">
                  <c:v>-10.8</c:v>
                </c:pt>
                <c:pt idx="6">
                  <c:v>-8.8000000000000007</c:v>
                </c:pt>
                <c:pt idx="7">
                  <c:v>-9</c:v>
                </c:pt>
                <c:pt idx="8">
                  <c:v>-9</c:v>
                </c:pt>
                <c:pt idx="9">
                  <c:v>-10.3</c:v>
                </c:pt>
                <c:pt idx="10">
                  <c:v>-12.5</c:v>
                </c:pt>
              </c:numCache>
            </c:numRef>
          </c:yVal>
          <c:smooth val="0"/>
          <c:extLst>
            <c:ext xmlns:c16="http://schemas.microsoft.com/office/drawing/2014/chart" uri="{C3380CC4-5D6E-409C-BE32-E72D297353CC}">
              <c16:uniqueId val="{00000001-DE28-4561-8DA5-A698919161D9}"/>
            </c:ext>
          </c:extLst>
        </c:ser>
        <c:dLbls>
          <c:showLegendKey val="0"/>
          <c:showVal val="0"/>
          <c:showCatName val="0"/>
          <c:showSerName val="0"/>
          <c:showPercent val="0"/>
          <c:showBubbleSize val="0"/>
        </c:dLbls>
        <c:axId val="557012896"/>
        <c:axId val="557011720"/>
      </c:scatterChart>
      <c:valAx>
        <c:axId val="557012896"/>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557011720"/>
        <c:crosses val="autoZero"/>
        <c:crossBetween val="midCat"/>
      </c:valAx>
      <c:valAx>
        <c:axId val="55701172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557012896"/>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accent4">
        <a:lumMod val="40000"/>
        <a:lumOff val="60000"/>
      </a:schemeClr>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en-US" sz="1200">
                <a:latin typeface="Times New Roman" panose="02020603050405020304" pitchFamily="18" charset="0"/>
                <a:cs typeface="Times New Roman" panose="02020603050405020304" pitchFamily="18" charset="0"/>
              </a:rPr>
              <a:t>EVOLUTION DE LA DETTE PUBLIQUE DU NIGER ET SES COMPOSANTES: 2010-2020</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stacked"/>
        <c:varyColors val="0"/>
        <c:ser>
          <c:idx val="0"/>
          <c:order val="0"/>
          <c:tx>
            <c:strRef>
              <c:f>'DETTE PUBLIQUE'!$B$4</c:f>
              <c:strCache>
                <c:ptCount val="1"/>
                <c:pt idx="0">
                  <c:v>DETTE EXTERIEURE EN % DU PIB</c:v>
                </c:pt>
              </c:strCache>
            </c:strRef>
          </c:tx>
          <c:spPr>
            <a:solidFill>
              <a:schemeClr val="accent2">
                <a:lumMod val="40000"/>
                <a:lumOff val="60000"/>
              </a:schemeClr>
            </a:soli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'DETTE PUBLIQUE'!$A$5:$A$13</c:f>
              <c:numCache>
                <c:formatCode>General</c:formatCode>
                <c:ptCount val="9"/>
                <c:pt idx="0">
                  <c:v>2010</c:v>
                </c:pt>
                <c:pt idx="1">
                  <c:v>2011</c:v>
                </c:pt>
                <c:pt idx="2">
                  <c:v>2012</c:v>
                </c:pt>
                <c:pt idx="3">
                  <c:v>2013</c:v>
                </c:pt>
                <c:pt idx="4">
                  <c:v>2014</c:v>
                </c:pt>
                <c:pt idx="5">
                  <c:v>2015</c:v>
                </c:pt>
                <c:pt idx="6">
                  <c:v>2018</c:v>
                </c:pt>
                <c:pt idx="7">
                  <c:v>2019</c:v>
                </c:pt>
                <c:pt idx="8">
                  <c:v>2020</c:v>
                </c:pt>
              </c:numCache>
            </c:numRef>
          </c:cat>
          <c:val>
            <c:numRef>
              <c:f>'DETTE PUBLIQUE'!$B$5:$B$13</c:f>
              <c:numCache>
                <c:formatCode>General</c:formatCode>
                <c:ptCount val="9"/>
                <c:pt idx="0">
                  <c:v>12.7</c:v>
                </c:pt>
                <c:pt idx="1">
                  <c:v>12.2</c:v>
                </c:pt>
                <c:pt idx="2">
                  <c:v>12.1</c:v>
                </c:pt>
                <c:pt idx="3">
                  <c:v>13.6</c:v>
                </c:pt>
                <c:pt idx="4">
                  <c:v>14.9</c:v>
                </c:pt>
                <c:pt idx="5">
                  <c:v>19.899999999999999</c:v>
                </c:pt>
                <c:pt idx="6">
                  <c:v>24.3</c:v>
                </c:pt>
                <c:pt idx="7">
                  <c:v>25.4</c:v>
                </c:pt>
                <c:pt idx="8">
                  <c:v>27.7</c:v>
                </c:pt>
              </c:numCache>
            </c:numRef>
          </c:val>
          <c:extLst>
            <c:ext xmlns:c16="http://schemas.microsoft.com/office/drawing/2014/chart" uri="{C3380CC4-5D6E-409C-BE32-E72D297353CC}">
              <c16:uniqueId val="{00000000-DDE6-402D-868D-77E1B8C5838E}"/>
            </c:ext>
          </c:extLst>
        </c:ser>
        <c:ser>
          <c:idx val="1"/>
          <c:order val="1"/>
          <c:tx>
            <c:strRef>
              <c:f>'DETTE PUBLIQUE'!$C$4</c:f>
              <c:strCache>
                <c:ptCount val="1"/>
                <c:pt idx="0">
                  <c:v>DETTE INTERIEURE EN % DU PIB</c:v>
                </c:pt>
              </c:strCache>
            </c:strRef>
          </c:tx>
          <c:spPr>
            <a:solidFill>
              <a:srgbClr val="00B050"/>
            </a:solidFill>
            <a:ln>
              <a:noFill/>
            </a:ln>
            <a:effectLst>
              <a:outerShdw blurRad="57150" dist="19050" dir="5400000" algn="ctr" rotWithShape="0">
                <a:srgbClr val="000000">
                  <a:alpha val="63000"/>
                </a:srgbClr>
              </a:outerShdw>
            </a:effectLst>
          </c:spPr>
          <c:invertIfNegative val="0"/>
          <c:dLbls>
            <c:spPr>
              <a:solidFill>
                <a:srgbClr val="92D050"/>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'DETTE PUBLIQUE'!$A$5:$A$13</c:f>
              <c:numCache>
                <c:formatCode>General</c:formatCode>
                <c:ptCount val="9"/>
                <c:pt idx="0">
                  <c:v>2010</c:v>
                </c:pt>
                <c:pt idx="1">
                  <c:v>2011</c:v>
                </c:pt>
                <c:pt idx="2">
                  <c:v>2012</c:v>
                </c:pt>
                <c:pt idx="3">
                  <c:v>2013</c:v>
                </c:pt>
                <c:pt idx="4">
                  <c:v>2014</c:v>
                </c:pt>
                <c:pt idx="5">
                  <c:v>2015</c:v>
                </c:pt>
                <c:pt idx="6">
                  <c:v>2018</c:v>
                </c:pt>
                <c:pt idx="7">
                  <c:v>2019</c:v>
                </c:pt>
                <c:pt idx="8">
                  <c:v>2020</c:v>
                </c:pt>
              </c:numCache>
            </c:numRef>
          </c:cat>
          <c:val>
            <c:numRef>
              <c:f>'DETTE PUBLIQUE'!$C$5:$C$13</c:f>
              <c:numCache>
                <c:formatCode>General</c:formatCode>
                <c:ptCount val="9"/>
                <c:pt idx="0">
                  <c:v>2.8</c:v>
                </c:pt>
                <c:pt idx="1">
                  <c:v>2.8</c:v>
                </c:pt>
                <c:pt idx="2">
                  <c:v>2.7</c:v>
                </c:pt>
                <c:pt idx="3">
                  <c:v>2.7</c:v>
                </c:pt>
                <c:pt idx="4">
                  <c:v>4.2</c:v>
                </c:pt>
                <c:pt idx="5">
                  <c:v>7.2</c:v>
                </c:pt>
                <c:pt idx="6">
                  <c:v>11</c:v>
                </c:pt>
                <c:pt idx="7">
                  <c:v>13.1</c:v>
                </c:pt>
                <c:pt idx="8">
                  <c:v>15.9</c:v>
                </c:pt>
              </c:numCache>
            </c:numRef>
          </c:val>
          <c:extLst>
            <c:ext xmlns:c16="http://schemas.microsoft.com/office/drawing/2014/chart" uri="{C3380CC4-5D6E-409C-BE32-E72D297353CC}">
              <c16:uniqueId val="{00000001-DDE6-402D-868D-77E1B8C5838E}"/>
            </c:ext>
          </c:extLst>
        </c:ser>
        <c:ser>
          <c:idx val="2"/>
          <c:order val="2"/>
          <c:tx>
            <c:strRef>
              <c:f>'DETTE PUBLIQUE'!$D$4</c:f>
              <c:strCache>
                <c:ptCount val="1"/>
                <c:pt idx="0">
                  <c:v>DETTE TOTALE EN % DU PIB</c:v>
                </c:pt>
              </c:strCache>
            </c:strRef>
          </c:tx>
          <c:spPr>
            <a:solidFill>
              <a:srgbClr val="FFC000"/>
            </a:soli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'DETTE PUBLIQUE'!$A$5:$A$13</c:f>
              <c:numCache>
                <c:formatCode>General</c:formatCode>
                <c:ptCount val="9"/>
                <c:pt idx="0">
                  <c:v>2010</c:v>
                </c:pt>
                <c:pt idx="1">
                  <c:v>2011</c:v>
                </c:pt>
                <c:pt idx="2">
                  <c:v>2012</c:v>
                </c:pt>
                <c:pt idx="3">
                  <c:v>2013</c:v>
                </c:pt>
                <c:pt idx="4">
                  <c:v>2014</c:v>
                </c:pt>
                <c:pt idx="5">
                  <c:v>2015</c:v>
                </c:pt>
                <c:pt idx="6">
                  <c:v>2018</c:v>
                </c:pt>
                <c:pt idx="7">
                  <c:v>2019</c:v>
                </c:pt>
                <c:pt idx="8">
                  <c:v>2020</c:v>
                </c:pt>
              </c:numCache>
            </c:numRef>
          </c:cat>
          <c:val>
            <c:numRef>
              <c:f>'DETTE PUBLIQUE'!$D$5:$D$13</c:f>
              <c:numCache>
                <c:formatCode>General</c:formatCode>
                <c:ptCount val="9"/>
                <c:pt idx="0">
                  <c:v>15.5</c:v>
                </c:pt>
                <c:pt idx="1">
                  <c:v>15</c:v>
                </c:pt>
                <c:pt idx="2">
                  <c:v>14.8</c:v>
                </c:pt>
                <c:pt idx="3">
                  <c:v>16.399999999999999</c:v>
                </c:pt>
                <c:pt idx="4">
                  <c:v>19</c:v>
                </c:pt>
                <c:pt idx="5">
                  <c:v>27.1</c:v>
                </c:pt>
                <c:pt idx="6">
                  <c:v>35.299999999999997</c:v>
                </c:pt>
                <c:pt idx="7">
                  <c:v>38.5</c:v>
                </c:pt>
                <c:pt idx="8">
                  <c:v>43.4</c:v>
                </c:pt>
              </c:numCache>
            </c:numRef>
          </c:val>
          <c:extLst>
            <c:ext xmlns:c16="http://schemas.microsoft.com/office/drawing/2014/chart" uri="{C3380CC4-5D6E-409C-BE32-E72D297353CC}">
              <c16:uniqueId val="{00000002-DDE6-402D-868D-77E1B8C5838E}"/>
            </c:ext>
          </c:extLst>
        </c:ser>
        <c:dLbls>
          <c:showLegendKey val="0"/>
          <c:showVal val="0"/>
          <c:showCatName val="0"/>
          <c:showSerName val="0"/>
          <c:showPercent val="0"/>
          <c:showBubbleSize val="0"/>
        </c:dLbls>
        <c:gapWidth val="150"/>
        <c:overlap val="100"/>
        <c:axId val="557014072"/>
        <c:axId val="557014464"/>
      </c:barChart>
      <c:catAx>
        <c:axId val="557014072"/>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557014464"/>
        <c:crosses val="autoZero"/>
        <c:auto val="1"/>
        <c:lblAlgn val="ctr"/>
        <c:lblOffset val="100"/>
        <c:noMultiLvlLbl val="0"/>
      </c:catAx>
      <c:valAx>
        <c:axId val="5570144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55701407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accent4">
        <a:lumMod val="20000"/>
        <a:lumOff val="80000"/>
      </a:schemeClr>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7"/>
    </mc:Choice>
    <mc:Fallback>
      <c:style val="7"/>
    </mc:Fallback>
  </mc:AlternateContent>
  <c:chart>
    <c:title>
      <c:tx>
        <c:rich>
          <a:bodyPr rot="0" spcFirstLastPara="1" vertOverflow="ellipsis" vert="horz" wrap="square" anchor="ctr" anchorCtr="1"/>
          <a:lstStyle/>
          <a:p>
            <a:pPr>
              <a:defRPr sz="1500" b="1" i="0" u="none" strike="noStrike" kern="1200" cap="all" spc="100" normalizeH="0" baseline="0">
                <a:solidFill>
                  <a:schemeClr val="lt1"/>
                </a:solidFill>
                <a:latin typeface="+mn-lt"/>
                <a:ea typeface="+mn-ea"/>
                <a:cs typeface="+mn-cs"/>
              </a:defRPr>
            </a:pPr>
            <a:r>
              <a:rPr lang="fr-FR" sz="1200">
                <a:latin typeface="Times New Roman" panose="02020603050405020304" pitchFamily="18" charset="0"/>
                <a:cs typeface="Times New Roman" panose="02020603050405020304" pitchFamily="18" charset="0"/>
              </a:rPr>
              <a:t>EVOLUTION DU CLASSEMENT DU NIGER DOING BUSINESS: 2010-2019</a:t>
            </a:r>
          </a:p>
        </c:rich>
      </c:tx>
      <c:overlay val="0"/>
      <c:spPr>
        <a:noFill/>
        <a:ln>
          <a:noFill/>
        </a:ln>
        <a:effectLst/>
      </c:spPr>
      <c:txPr>
        <a:bodyPr rot="0" spcFirstLastPara="1" vertOverflow="ellipsis" vert="horz" wrap="square" anchor="ctr" anchorCtr="1"/>
        <a:lstStyle/>
        <a:p>
          <a:pPr>
            <a:defRPr sz="1500" b="1" i="0" u="none" strike="noStrike" kern="1200" cap="all" spc="100" normalizeH="0" baseline="0">
              <a:solidFill>
                <a:schemeClr val="lt1"/>
              </a:solidFill>
              <a:latin typeface="+mn-lt"/>
              <a:ea typeface="+mn-ea"/>
              <a:cs typeface="+mn-cs"/>
            </a:defRPr>
          </a:pPr>
          <a:endParaRPr lang="fr-FR"/>
        </a:p>
      </c:txPr>
    </c:title>
    <c:autoTitleDeleted val="0"/>
    <c:plotArea>
      <c:layout/>
      <c:scatterChart>
        <c:scatterStyle val="lineMarker"/>
        <c:varyColors val="0"/>
        <c:ser>
          <c:idx val="0"/>
          <c:order val="0"/>
          <c:tx>
            <c:strRef>
              <c:f>'DOING BUSINESS RANKING'!$C$4</c:f>
              <c:strCache>
                <c:ptCount val="1"/>
                <c:pt idx="0">
                  <c:v>CLASSEMENT DOING BUSINESS NIGER</c:v>
                </c:pt>
              </c:strCache>
            </c:strRef>
          </c:tx>
          <c:spPr>
            <a:ln w="28575" cap="rnd">
              <a:solidFill>
                <a:schemeClr val="lt1">
                  <a:alpha val="50000"/>
                </a:schemeClr>
              </a:solidFill>
              <a:round/>
            </a:ln>
            <a:effectLst>
              <a:outerShdw dist="25400" dir="2700000" algn="tl" rotWithShape="0">
                <a:schemeClr val="accent5"/>
              </a:outerShdw>
            </a:effectLst>
          </c:spPr>
          <c:marker>
            <c:symbol val="circle"/>
            <c:size val="6"/>
            <c:spPr>
              <a:solidFill>
                <a:schemeClr val="accent5"/>
              </a:solidFill>
              <a:ln w="22225">
                <a:solidFill>
                  <a:schemeClr val="lt1"/>
                </a:solidFill>
                <a:round/>
              </a:ln>
              <a:effectLst/>
            </c:spPr>
          </c:marke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accent5">
                          <a:lumMod val="60000"/>
                          <a:lumOff val="40000"/>
                        </a:schemeClr>
                      </a:solidFill>
                    </a:ln>
                    <a:effectLst/>
                  </c:spPr>
                </c15:leaderLines>
              </c:ext>
            </c:extLst>
          </c:dLbls>
          <c:xVal>
            <c:numRef>
              <c:f>'DOING BUSINESS RANKING'!$B$5:$B$14</c:f>
              <c:numCache>
                <c:formatCode>General</c:formatCode>
                <c:ptCount val="10"/>
                <c:pt idx="0">
                  <c:v>2010</c:v>
                </c:pt>
                <c:pt idx="1">
                  <c:v>2011</c:v>
                </c:pt>
                <c:pt idx="2">
                  <c:v>2012</c:v>
                </c:pt>
                <c:pt idx="3">
                  <c:v>2013</c:v>
                </c:pt>
                <c:pt idx="4">
                  <c:v>2014</c:v>
                </c:pt>
                <c:pt idx="5">
                  <c:v>2015</c:v>
                </c:pt>
                <c:pt idx="6">
                  <c:v>2016</c:v>
                </c:pt>
                <c:pt idx="7">
                  <c:v>2017</c:v>
                </c:pt>
                <c:pt idx="8">
                  <c:v>2018</c:v>
                </c:pt>
                <c:pt idx="9">
                  <c:v>2019</c:v>
                </c:pt>
              </c:numCache>
            </c:numRef>
          </c:xVal>
          <c:yVal>
            <c:numRef>
              <c:f>'DOING BUSINESS RANKING'!$C$5:$C$14</c:f>
              <c:numCache>
                <c:formatCode>General</c:formatCode>
                <c:ptCount val="10"/>
                <c:pt idx="0">
                  <c:v>171</c:v>
                </c:pt>
                <c:pt idx="1">
                  <c:v>174</c:v>
                </c:pt>
                <c:pt idx="2">
                  <c:v>173</c:v>
                </c:pt>
                <c:pt idx="3">
                  <c:v>174</c:v>
                </c:pt>
                <c:pt idx="4">
                  <c:v>176</c:v>
                </c:pt>
                <c:pt idx="5">
                  <c:v>160</c:v>
                </c:pt>
                <c:pt idx="6">
                  <c:v>150</c:v>
                </c:pt>
                <c:pt idx="7">
                  <c:v>144</c:v>
                </c:pt>
                <c:pt idx="8">
                  <c:v>143</c:v>
                </c:pt>
                <c:pt idx="9">
                  <c:v>132</c:v>
                </c:pt>
              </c:numCache>
            </c:numRef>
          </c:yVal>
          <c:smooth val="0"/>
          <c:extLst>
            <c:ext xmlns:c16="http://schemas.microsoft.com/office/drawing/2014/chart" uri="{C3380CC4-5D6E-409C-BE32-E72D297353CC}">
              <c16:uniqueId val="{00000000-D9E9-4B1B-A3DE-6C1F9C389844}"/>
            </c:ext>
          </c:extLst>
        </c:ser>
        <c:dLbls>
          <c:showLegendKey val="0"/>
          <c:showVal val="0"/>
          <c:showCatName val="0"/>
          <c:showSerName val="0"/>
          <c:showPercent val="0"/>
          <c:showBubbleSize val="0"/>
        </c:dLbls>
        <c:axId val="565453704"/>
        <c:axId val="565452136"/>
      </c:scatterChart>
      <c:valAx>
        <c:axId val="565453704"/>
        <c:scaling>
          <c:orientation val="minMax"/>
        </c:scaling>
        <c:delete val="0"/>
        <c:axPos val="b"/>
        <c:majorGridlines>
          <c:spPr>
            <a:ln w="9525" cap="flat" cmpd="sng" algn="ctr">
              <a:solidFill>
                <a:schemeClr val="lt1">
                  <a:alpha val="25000"/>
                </a:schemeClr>
              </a:solidFill>
              <a:round/>
            </a:ln>
            <a:effectLst/>
          </c:spPr>
        </c:majorGridlines>
        <c:numFmt formatCode="General" sourceLinked="1"/>
        <c:majorTickMark val="none"/>
        <c:minorTickMark val="none"/>
        <c:tickLblPos val="nextTo"/>
        <c:spPr>
          <a:noFill/>
          <a:ln w="12700" cap="flat" cmpd="sng" algn="ctr">
            <a:solidFill>
              <a:schemeClr val="lt1">
                <a:alpha val="25000"/>
              </a:schemeClr>
            </a:solidFill>
            <a:round/>
          </a:ln>
          <a:effectLst/>
        </c:spPr>
        <c:txPr>
          <a:bodyPr rot="-60000000" spcFirstLastPara="1" vertOverflow="ellipsis" vert="horz" wrap="square" anchor="ctr" anchorCtr="1"/>
          <a:lstStyle/>
          <a:p>
            <a:pPr>
              <a:defRPr sz="900" b="0" i="0" u="none" strike="noStrike" kern="1200" spc="100" baseline="0">
                <a:solidFill>
                  <a:schemeClr val="lt1"/>
                </a:solidFill>
                <a:latin typeface="+mn-lt"/>
                <a:ea typeface="+mn-ea"/>
                <a:cs typeface="+mn-cs"/>
              </a:defRPr>
            </a:pPr>
            <a:endParaRPr lang="fr-FR"/>
          </a:p>
        </c:txPr>
        <c:crossAx val="565452136"/>
        <c:crosses val="autoZero"/>
        <c:crossBetween val="midCat"/>
      </c:valAx>
      <c:valAx>
        <c:axId val="565452136"/>
        <c:scaling>
          <c:orientation val="minMax"/>
        </c:scaling>
        <c:delete val="0"/>
        <c:axPos val="l"/>
        <c:majorGridlines>
          <c:spPr>
            <a:ln w="9525" cap="flat" cmpd="sng" algn="ctr">
              <a:solidFill>
                <a:schemeClr val="lt1">
                  <a:alpha val="25000"/>
                </a:schemeClr>
              </a:solidFill>
              <a:round/>
            </a:ln>
            <a:effectLst/>
          </c:spPr>
        </c:majorGridlines>
        <c:title>
          <c:tx>
            <c:rich>
              <a:bodyPr rot="-5400000" spcFirstLastPara="1" vertOverflow="ellipsis" vert="horz" wrap="square" anchor="ctr" anchorCtr="1"/>
              <a:lstStyle/>
              <a:p>
                <a:pPr>
                  <a:defRPr sz="900" b="1" i="0" u="none" strike="noStrike" kern="1200" baseline="0">
                    <a:solidFill>
                      <a:schemeClr val="lt1"/>
                    </a:solidFill>
                    <a:latin typeface="+mn-lt"/>
                    <a:ea typeface="+mn-ea"/>
                    <a:cs typeface="+mn-cs"/>
                  </a:defRPr>
                </a:pPr>
                <a:r>
                  <a:rPr lang="en-US"/>
                  <a:t>Classement doing business</a:t>
                </a:r>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lt1"/>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solidFill>
                <a:latin typeface="+mn-lt"/>
                <a:ea typeface="+mn-ea"/>
                <a:cs typeface="+mn-cs"/>
              </a:defRPr>
            </a:pPr>
            <a:endParaRPr lang="fr-FR"/>
          </a:p>
        </c:txPr>
        <c:crossAx val="565453704"/>
        <c:crosses val="autoZero"/>
        <c:crossBetween val="midCat"/>
      </c:valAx>
      <c:spPr>
        <a:noFill/>
        <a:ln>
          <a:noFill/>
        </a:ln>
        <a:effectLst/>
      </c:spPr>
    </c:plotArea>
    <c:plotVisOnly val="1"/>
    <c:dispBlanksAs val="gap"/>
    <c:showDLblsOverMax val="0"/>
  </c:chart>
  <c:spPr>
    <a:solidFill>
      <a:schemeClr val="accent5"/>
    </a:solidFill>
    <a:ln w="9525" cap="flat" cmpd="sng" algn="ctr">
      <a:solidFill>
        <a:schemeClr val="accent5"/>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withinLinear" id="18">
  <a:schemeClr val="accent5"/>
</cs:colorStyle>
</file>

<file path=word/charts/style1.xml><?xml version="1.0" encoding="utf-8"?>
<cs:chartStyle xmlns:cs="http://schemas.microsoft.com/office/drawing/2012/chartStyle" xmlns:a="http://schemas.openxmlformats.org/drawingml/2006/main" id="298">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98">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98">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343">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9525" cap="rnd">
        <a:solidFill>
          <a:schemeClr val="phClr"/>
        </a:solidFill>
        <a:round/>
      </a:ln>
    </cs:spPr>
  </cs:dataPointLine>
  <cs:dataPointMarker>
    <cs:lnRef idx="0">
      <cs:styleClr val="auto"/>
    </cs:lnRef>
    <cs:fillRef idx="3">
      <cs:styleClr val="auto"/>
    </cs:fillRef>
    <cs:effectRef idx="3"/>
    <cs:fontRef idx="minor">
      <a:schemeClr val="tx1"/>
    </cs:fontRef>
    <cs:spPr>
      <a:ln w="9525" cap="rnd">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5.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348">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8.xml><?xml version="1.0" encoding="utf-8"?>
<cs:chartStyle xmlns:cs="http://schemas.microsoft.com/office/drawing/2012/chartStyle" xmlns:a="http://schemas.openxmlformats.org/drawingml/2006/main" id="247">
  <cs:axisTitle>
    <cs:lnRef idx="0"/>
    <cs:fillRef idx="0"/>
    <cs:effectRef idx="0"/>
    <cs:fontRef idx="minor">
      <a:schemeClr val="lt1"/>
    </cs:fontRef>
    <cs:defRPr sz="900" b="1" kern="1200"/>
  </cs:axisTitle>
  <cs:categoryAxis>
    <cs:lnRef idx="0">
      <cs:styleClr val="0"/>
    </cs:lnRef>
    <cs:fillRef idx="0"/>
    <cs:effectRef idx="0"/>
    <cs:fontRef idx="minor">
      <a:schemeClr val="lt1"/>
    </cs:fontRef>
    <cs:spPr>
      <a:ln w="12700" cap="flat" cmpd="sng" algn="ctr">
        <a:solidFill>
          <a:schemeClr val="lt1">
            <a:alpha val="25000"/>
          </a:schemeClr>
        </a:solidFill>
        <a:round/>
      </a:ln>
    </cs:spPr>
    <cs:defRPr sz="900" b="0" kern="1200" spc="100" baseline="0"/>
  </cs:categoryAxis>
  <cs:chartArea>
    <cs:lnRef idx="0">
      <cs:styleClr val="0"/>
    </cs:lnRef>
    <cs:fillRef idx="0">
      <cs:styleClr val="0"/>
    </cs:fillRef>
    <cs:effectRef idx="0"/>
    <cs:fontRef idx="minor">
      <a:schemeClr val="dk1"/>
    </cs:fontRef>
    <cs:spPr>
      <a:solidFill>
        <a:schemeClr val="phClr"/>
      </a:solidFill>
      <a:ln w="9525" cap="flat" cmpd="sng" algn="ctr">
        <a:solidFill>
          <a:schemeClr val="phClr"/>
        </a:solidFill>
        <a:round/>
      </a:ln>
    </cs:spPr>
    <cs:defRPr sz="1000" kern="1200"/>
  </cs:chartArea>
  <cs:dataLabel>
    <cs:lnRef idx="0"/>
    <cs:fillRef idx="0"/>
    <cs:effectRef idx="0"/>
    <cs:fontRef idx="minor">
      <a:schemeClr val="lt1"/>
    </cs:fontRef>
    <cs:defRPr sz="900" b="1" kern="1200"/>
  </cs:dataLabel>
  <cs:dataLabelCallout>
    <cs:lnRef idx="0">
      <cs:styleClr val="auto"/>
    </cs:lnRef>
    <cs:fillRef idx="0"/>
    <cs:effectRef idx="0"/>
    <cs:fontRef idx="minor">
      <cs:styleClr val="auto"/>
    </cs:fontRef>
    <cs:spPr>
      <a:solidFill>
        <a:schemeClr val="lt1"/>
      </a:solidFill>
      <a:ln>
        <a:solidFill>
          <a:schemeClr val="ph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pattFill prst="ltUpDiag">
        <a:fgClr>
          <a:schemeClr val="phClr"/>
        </a:fgClr>
        <a:bgClr>
          <a:schemeClr val="lt1"/>
        </a:bgClr>
      </a:pattFill>
    </cs:spPr>
  </cs:dataPoint>
  <cs:dataPoint3D>
    <cs:lnRef idx="0"/>
    <cs:fillRef idx="0">
      <cs:styleClr val="auto"/>
    </cs:fillRef>
    <cs:effectRef idx="0"/>
    <cs:fontRef idx="minor">
      <a:schemeClr val="dk1"/>
    </cs:fontRef>
    <cs:spPr>
      <a:pattFill prst="ltUpDiag">
        <a:fgClr>
          <a:schemeClr val="phClr"/>
        </a:fgClr>
        <a:bgClr>
          <a:schemeClr val="lt1"/>
        </a:bgClr>
      </a:pattFill>
    </cs:spPr>
  </cs:dataPoint3D>
  <cs:dataPointLine>
    <cs:lnRef idx="0">
      <cs:styleClr val="auto"/>
    </cs:lnRef>
    <cs:fillRef idx="0"/>
    <cs:effectRef idx="0">
      <cs:styleClr val="auto"/>
    </cs:effectRef>
    <cs:fontRef idx="minor">
      <a:schemeClr val="dk1"/>
    </cs:fontRef>
    <cs:spPr>
      <a:ln w="28575" cap="rnd">
        <a:solidFill>
          <a:schemeClr val="lt1">
            <a:alpha val="50000"/>
          </a:schemeClr>
        </a:solidFill>
        <a:round/>
      </a:ln>
      <a:effectLst>
        <a:outerShdw dist="25400" dir="2700000" algn="tl" rotWithShape="0">
          <a:schemeClr val="phClr"/>
        </a:outerShdw>
      </a:effectLst>
    </cs:spPr>
  </cs:dataPointLine>
  <cs:dataPointMarker>
    <cs:lnRef idx="0"/>
    <cs:fillRef idx="0">
      <cs:styleClr val="auto"/>
    </cs:fillRef>
    <cs:effectRef idx="0"/>
    <cs:fontRef idx="minor">
      <a:schemeClr val="dk1"/>
    </cs:fontRef>
    <cs:spPr>
      <a:solidFill>
        <a:schemeClr val="phClr"/>
      </a:solidFill>
      <a:ln w="22225">
        <a:solidFill>
          <a:schemeClr val="lt1"/>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styleClr val="0"/>
    </cs:lnRef>
    <cs:fillRef idx="0"/>
    <cs:effectRef idx="0"/>
    <cs:fontRef idx="minor">
      <a:schemeClr val="lt1"/>
    </cs:fontRef>
    <cs:spPr>
      <a:ln w="9525">
        <a:solidFill>
          <a:schemeClr val="phClr">
            <a:lumMod val="60000"/>
            <a:lumOff val="40000"/>
          </a:schemeClr>
        </a:solidFill>
      </a:ln>
    </cs:spPr>
    <cs:defRPr sz="900" kern="1200"/>
  </cs:dataTable>
  <cs:downBar>
    <cs:lnRef idx="0">
      <cs:styleClr val="0"/>
    </cs:lnRef>
    <cs:fillRef idx="0"/>
    <cs:effectRef idx="0"/>
    <cs:fontRef idx="minor">
      <a:schemeClr val="dk1"/>
    </cs:fontRef>
    <cs:spPr>
      <a:solidFill>
        <a:schemeClr val="dk1">
          <a:lumMod val="35000"/>
          <a:lumOff val="65000"/>
        </a:schemeClr>
      </a:solidFill>
      <a:ln w="9525">
        <a:solidFill>
          <a:schemeClr val="phClr">
            <a:lumMod val="60000"/>
            <a:lumOff val="40000"/>
          </a:schemeClr>
        </a:solidFill>
      </a:ln>
    </cs:spPr>
  </cs:downBar>
  <cs:dropLine>
    <cs:lnRef idx="0">
      <cs:styleClr val="0"/>
    </cs:lnRef>
    <cs:fillRef idx="0"/>
    <cs:effectRef idx="0"/>
    <cs:fontRef idx="minor">
      <a:schemeClr val="dk1"/>
    </cs:fontRef>
    <cs:spPr>
      <a:ln w="9525" cap="flat" cmpd="sng" algn="ctr">
        <a:gradFill>
          <a:gsLst>
            <a:gs pos="79000">
              <a:schemeClr val="phClr"/>
            </a:gs>
            <a:gs pos="0">
              <a:schemeClr val="lt1">
                <a:alpha val="60000"/>
              </a:schemeClr>
            </a:gs>
          </a:gsLst>
          <a:lin ang="5400000" scaled="0"/>
        </a:gradFill>
        <a:round/>
      </a:ln>
    </cs:spPr>
  </cs:dropLine>
  <cs:errorBar>
    <cs:lnRef idx="0">
      <cs:styleClr val="0"/>
    </cs:lnRef>
    <cs:fillRef idx="0"/>
    <cs:effectRef idx="0"/>
    <cs:fontRef idx="minor">
      <a:schemeClr val="dk1"/>
    </cs:fontRef>
    <cs:spPr>
      <a:ln w="9525">
        <a:solidFill>
          <a:schemeClr val="phClr">
            <a:lumMod val="60000"/>
            <a:lumOff val="40000"/>
          </a:schemeClr>
        </a:solidFill>
        <a:round/>
      </a:ln>
      <a:effectLst>
        <a:glow rad="25400">
          <a:schemeClr val="lt1"/>
        </a:glow>
      </a:effectLst>
    </cs:spPr>
  </cs:errorBar>
  <cs:floor>
    <cs:lnRef idx="0"/>
    <cs:fillRef idx="0"/>
    <cs:effectRef idx="0"/>
    <cs:fontRef idx="minor">
      <a:schemeClr val="dk1"/>
    </cs:fontRef>
  </cs:floor>
  <cs:gridlineMajor>
    <cs:lnRef idx="0">
      <cs:styleClr val="0"/>
    </cs:lnRef>
    <cs:fillRef idx="0"/>
    <cs:effectRef idx="0"/>
    <cs:fontRef idx="minor">
      <a:schemeClr val="dk1"/>
    </cs:fontRef>
    <cs:spPr>
      <a:ln w="9525" cap="flat" cmpd="sng" algn="ctr">
        <a:solidFill>
          <a:schemeClr val="lt1">
            <a:alpha val="25000"/>
          </a:schemeClr>
        </a:solidFill>
        <a:round/>
      </a:ln>
    </cs:spPr>
  </cs:gridlineMajor>
  <cs:gridlineMinor>
    <cs:lnRef idx="0">
      <cs:styleClr val="0"/>
    </cs:lnRef>
    <cs:fillRef idx="0"/>
    <cs:effectRef idx="0"/>
    <cs:fontRef idx="minor">
      <a:schemeClr val="dk1"/>
    </cs:fontRef>
    <cs:spPr>
      <a:ln>
        <a:solidFill>
          <a:schemeClr val="lt1">
            <a:alpha val="10000"/>
          </a:schemeClr>
        </a:solidFill>
      </a:ln>
    </cs:spPr>
  </cs:gridlineMinor>
  <cs:hiLoLine>
    <cs:lnRef idx="0">
      <cs:styleClr val="0"/>
    </cs:lnRef>
    <cs:fillRef idx="0"/>
    <cs:effectRef idx="0"/>
    <cs:fontRef idx="minor">
      <a:schemeClr val="dk1"/>
    </cs:fontRef>
    <cs:spPr>
      <a:ln w="9525">
        <a:solidFill>
          <a:schemeClr val="phClr">
            <a:lumMod val="60000"/>
            <a:lumOff val="40000"/>
          </a:schemeClr>
        </a:solidFill>
        <a:prstDash val="dash"/>
      </a:ln>
    </cs:spPr>
  </cs:hiLoLine>
  <cs:leaderLine>
    <cs:lnRef idx="0">
      <cs:styleClr val="0"/>
    </cs:lnRef>
    <cs:fillRef idx="0"/>
    <cs:effectRef idx="0"/>
    <cs:fontRef idx="minor">
      <a:schemeClr val="dk1"/>
    </cs:fontRef>
    <cs:spPr>
      <a:ln w="9525">
        <a:solidFill>
          <a:schemeClr val="phClr">
            <a:lumMod val="60000"/>
            <a:lumOff val="40000"/>
          </a:schemeClr>
        </a:solidFill>
      </a:ln>
    </cs:spPr>
  </cs:leaderLine>
  <cs:legend>
    <cs:lnRef idx="0"/>
    <cs:fillRef idx="0"/>
    <cs:effectRef idx="0"/>
    <cs:fontRef idx="minor">
      <a:schemeClr val="lt1"/>
    </cs:fontRef>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styleClr val="0"/>
    </cs:lnRef>
    <cs:fillRef idx="0"/>
    <cs:effectRef idx="0"/>
    <cs:fontRef idx="minor">
      <a:schemeClr val="lt1"/>
    </cs:fontRef>
    <cs:spPr>
      <a:ln w="3175" cap="flat" cmpd="sng" algn="ctr">
        <a:solidFill>
          <a:schemeClr val="phClr">
            <a:lumMod val="60000"/>
            <a:lumOff val="40000"/>
          </a:schemeClr>
        </a:solidFill>
        <a:round/>
      </a:ln>
    </cs:spPr>
    <cs:defRPr sz="900" kern="1200"/>
  </cs:seriesAxis>
  <cs:seriesLine>
    <cs:lnRef idx="0">
      <cs:styleClr val="0"/>
    </cs:lnRef>
    <cs:fillRef idx="0"/>
    <cs:effectRef idx="0"/>
    <cs:fontRef idx="minor">
      <a:schemeClr val="dk1"/>
    </cs:fontRef>
    <cs:spPr>
      <a:ln w="9525">
        <a:solidFill>
          <a:schemeClr val="phClr">
            <a:lumMod val="60000"/>
            <a:lumOff val="40000"/>
            <a:tint val="50000"/>
          </a:schemeClr>
        </a:solidFill>
        <a:prstDash val="dash"/>
      </a:ln>
    </cs:spPr>
  </cs:seriesLine>
  <cs:title>
    <cs:lnRef idx="0"/>
    <cs:fillRef idx="0"/>
    <cs:effectRef idx="0"/>
    <cs:fontRef idx="minor">
      <a:schemeClr val="lt1"/>
    </cs:fontRef>
    <cs:defRPr sz="1500" b="1" kern="1200" cap="all" spc="100" normalizeH="0" baseline="0"/>
  </cs:title>
  <cs:trendline>
    <cs:lnRef idx="0"/>
    <cs:fillRef idx="0"/>
    <cs:effectRef idx="0"/>
    <cs:fontRef idx="minor">
      <a:schemeClr val="dk1"/>
    </cs:fontRef>
    <cs:spPr>
      <a:ln w="28575" cap="rnd">
        <a:solidFill>
          <a:schemeClr val="lt1">
            <a:alpha val="50000"/>
          </a:schemeClr>
        </a:solidFill>
        <a:round/>
      </a:ln>
    </cs:spPr>
  </cs:trendline>
  <cs:trendlineLabel>
    <cs:lnRef idx="0"/>
    <cs:fillRef idx="0"/>
    <cs:effectRef idx="0"/>
    <cs:fontRef idx="minor">
      <a:schemeClr val="lt1"/>
    </cs:fontRef>
    <cs:defRPr sz="900" kern="1200"/>
  </cs:trendlineLabel>
  <cs:upBar>
    <cs:lnRef idx="0">
      <cs:styleClr val="0"/>
    </cs:lnRef>
    <cs:fillRef idx="0"/>
    <cs:effectRef idx="0"/>
    <cs:fontRef idx="minor">
      <a:schemeClr val="dk1"/>
    </cs:fontRef>
    <cs:spPr>
      <a:solidFill>
        <a:schemeClr val="lt1">
          <a:lumMod val="95000"/>
        </a:schemeClr>
      </a:solidFill>
      <a:ln w="9525">
        <a:solidFill>
          <a:schemeClr val="phClr">
            <a:lumMod val="60000"/>
            <a:lumOff val="40000"/>
          </a:schemeClr>
        </a:solidFill>
      </a:ln>
    </cs:spPr>
  </cs:upBar>
  <cs:valueAxis>
    <cs:lnRef idx="0"/>
    <cs:fillRef idx="0"/>
    <cs:effectRef idx="0"/>
    <cs:fontRef idx="minor">
      <a:schemeClr val="lt1"/>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B2BB83-6AA6-441F-BF06-889F580A71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314</TotalTime>
  <Pages>91</Pages>
  <Words>49690</Words>
  <Characters>273299</Characters>
  <Application>Microsoft Office Word</Application>
  <DocSecurity>0</DocSecurity>
  <Lines>2277</Lines>
  <Paragraphs>644</Paragraphs>
  <ScaleCrop>false</ScaleCrop>
  <HeadingPairs>
    <vt:vector size="6" baseType="variant">
      <vt:variant>
        <vt:lpstr>Titre</vt:lpstr>
      </vt:variant>
      <vt:variant>
        <vt:i4>1</vt:i4>
      </vt:variant>
      <vt:variant>
        <vt:lpstr>Title</vt:lpstr>
      </vt:variant>
      <vt:variant>
        <vt:i4>1</vt:i4>
      </vt:variant>
      <vt:variant>
        <vt:lpstr>Headings</vt:lpstr>
      </vt:variant>
      <vt:variant>
        <vt:i4>18</vt:i4>
      </vt:variant>
    </vt:vector>
  </HeadingPairs>
  <TitlesOfParts>
    <vt:vector size="20" baseType="lpstr">
      <vt:lpstr/>
      <vt:lpstr/>
      <vt:lpstr>Sigles &amp; acronymes  </vt:lpstr>
      <vt:lpstr>Résumé exécutif</vt:lpstr>
      <vt:lpstr>Introduction </vt:lpstr>
      <vt:lpstr>    </vt:lpstr>
      <vt:lpstr>    Objectifs visés par l’analyse Commune Pays</vt:lpstr>
      <vt:lpstr>    Approche méthodologique </vt:lpstr>
      <vt:lpstr>I - Etat des lieux du contexte national</vt:lpstr>
      <vt:lpstr>    I.1 - Situation géographique et administrative</vt:lpstr>
      <vt:lpstr>    I.2 - Situation démographique</vt:lpstr>
      <vt:lpstr>    I.3 - Etat des lieux de la gouvernance, la paix, la sécurité, des migrations et </vt:lpstr>
      <vt:lpstr>        I.3.1 - Etat des lieux de la gouvernance politique</vt:lpstr>
      <vt:lpstr>        I.3.2 - Etat des lieux de la gouvernance sécuritaire </vt:lpstr>
      <vt:lpstr>        La sécurité des personnes et des biens constitue un droit fondamental garanti pa</vt:lpstr>
      <vt:lpstr>        I.3.3 - Etat des lieux de la gouvernance migratoire et de l’asile</vt:lpstr>
      <vt:lpstr>        Les réfugiés et demandeurs d’asile sont confrontés à des difficultés de survie s</vt:lpstr>
      <vt:lpstr>        I.3.4 - Etat des lieux de la gouvernance judiciaire et juridique</vt:lpstr>
      <vt:lpstr>        I.3.5 - Etat des lieux de la gouvernance administrative et locale</vt:lpstr>
      <vt:lpstr>        I.3.6 - Etat des lieux de la gouvernance économique</vt:lpstr>
    </vt:vector>
  </TitlesOfParts>
  <Company/>
  <LinksUpToDate>false</LinksUpToDate>
  <CharactersWithSpaces>322345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MIKAYOULOU</dc:creator>
  <cp:keywords/>
  <dc:description/>
  <cp:lastModifiedBy>Maharouf A. Oyolola</cp:lastModifiedBy>
  <cp:revision>3</cp:revision>
  <dcterms:created xsi:type="dcterms:W3CDTF">2022-08-17T17:20:00Z</dcterms:created>
  <dcterms:modified xsi:type="dcterms:W3CDTF">2022-08-28T20:11:00Z</dcterms:modified>
</cp:coreProperties>
</file>